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ind w:firstLine="617"/>
        <w:jc w:val="center"/>
        <w:rPr>
          <w:rFonts w:hint="eastAsia" w:ascii="黑体" w:hAnsi="黑体" w:eastAsia="黑体" w:cs="黑体"/>
        </w:rPr>
      </w:pPr>
      <w:bookmarkStart w:id="0" w:name="_Toc144480526"/>
      <w:r>
        <w:rPr>
          <w:rFonts w:hint="eastAsia" w:ascii="黑体" w:hAnsi="黑体" w:eastAsia="黑体" w:cs="黑体"/>
        </w:rPr>
        <w:t>《</w:t>
      </w:r>
      <w:r>
        <w:rPr>
          <w:rFonts w:hint="eastAsia" w:ascii="黑体" w:hAnsi="黑体" w:eastAsia="黑体" w:cs="黑体"/>
          <w:lang w:val="en-US" w:eastAsia="zh-CN"/>
        </w:rPr>
        <w:t>建设工程法律法规</w:t>
      </w:r>
      <w:r>
        <w:rPr>
          <w:rFonts w:hint="eastAsia" w:ascii="黑体" w:hAnsi="黑体" w:eastAsia="黑体" w:cs="黑体"/>
        </w:rPr>
        <w:t>》课程标准</w:t>
      </w:r>
      <w:bookmarkEnd w:id="0"/>
    </w:p>
    <w:p>
      <w:pPr>
        <w:ind w:firstLine="454"/>
      </w:pPr>
    </w:p>
    <w:p>
      <w:pPr>
        <w:ind w:firstLine="454"/>
      </w:pPr>
    </w:p>
    <w:p>
      <w:pPr>
        <w:ind w:firstLine="454"/>
      </w:pPr>
    </w:p>
    <w:p>
      <w:pPr>
        <w:ind w:firstLine="454"/>
      </w:pPr>
      <w:bookmarkStart w:id="1" w:name="_Toc144476168"/>
      <w:r>
        <w:rPr>
          <w:rFonts w:hint="eastAsia"/>
        </w:rPr>
        <w:t>一、课程信息</w:t>
      </w:r>
      <w:bookmarkEnd w:id="1"/>
    </w:p>
    <w:p>
      <w:pPr>
        <w:ind w:firstLine="454"/>
        <w:rPr>
          <w:rFonts w:hint="default" w:eastAsia="宋体"/>
          <w:lang w:val="en-US" w:eastAsia="zh-CN"/>
        </w:rPr>
      </w:pPr>
      <w:r>
        <w:rPr>
          <w:rFonts w:hint="eastAsia"/>
        </w:rPr>
        <w:t>课程名称：</w:t>
      </w:r>
      <w:r>
        <w:rPr>
          <w:rFonts w:hint="eastAsia"/>
          <w:lang w:val="en-US" w:eastAsia="zh-CN"/>
        </w:rPr>
        <w:t>建设工程法律法规</w:t>
      </w:r>
    </w:p>
    <w:p>
      <w:pPr>
        <w:ind w:firstLine="454"/>
        <w:rPr>
          <w:rFonts w:hint="default"/>
          <w:lang w:val="en-US" w:eastAsia="zh-CN"/>
        </w:rPr>
      </w:pPr>
      <w:r>
        <w:rPr>
          <w:rFonts w:hint="eastAsia"/>
        </w:rPr>
        <w:t>课程编码：</w:t>
      </w:r>
      <w:r>
        <w:rPr>
          <w:rFonts w:hint="eastAsia"/>
          <w:lang w:val="en-US" w:eastAsia="zh-CN"/>
        </w:rPr>
        <w:t>420903022</w:t>
      </w:r>
    </w:p>
    <w:p>
      <w:pPr>
        <w:ind w:firstLine="454"/>
      </w:pPr>
      <w:r>
        <w:rPr>
          <w:rFonts w:hint="eastAsia"/>
        </w:rPr>
        <w:t>适用专业：</w:t>
      </w:r>
      <w:r>
        <w:rPr>
          <w:rFonts w:hint="eastAsia"/>
          <w:lang w:val="en-US" w:eastAsia="zh-CN"/>
        </w:rPr>
        <w:t>工程安全评价与监理</w:t>
      </w:r>
      <w:r>
        <w:rPr>
          <w:rFonts w:hint="eastAsia"/>
        </w:rPr>
        <w:t>专业</w:t>
      </w:r>
    </w:p>
    <w:p>
      <w:pPr>
        <w:ind w:firstLine="454"/>
      </w:pPr>
      <w:r>
        <w:rPr>
          <w:rFonts w:hint="eastAsia"/>
        </w:rPr>
        <w:t>课程学时：</w:t>
      </w:r>
      <w:r>
        <w:rPr>
          <w:rFonts w:hint="eastAsia"/>
          <w:lang w:val="en-US" w:eastAsia="zh-CN"/>
        </w:rPr>
        <w:t>36</w:t>
      </w:r>
      <w:r>
        <w:rPr>
          <w:rFonts w:hint="eastAsia"/>
        </w:rPr>
        <w:t>学时</w:t>
      </w:r>
    </w:p>
    <w:p>
      <w:pPr>
        <w:ind w:firstLine="454"/>
      </w:pPr>
      <w:r>
        <w:rPr>
          <w:rFonts w:hint="eastAsia"/>
        </w:rPr>
        <w:t>课程学分：</w:t>
      </w:r>
      <w:r>
        <w:rPr>
          <w:rFonts w:hint="eastAsia"/>
          <w:lang w:val="en-US" w:eastAsia="zh-CN"/>
        </w:rPr>
        <w:t>2</w:t>
      </w:r>
      <w:r>
        <w:rPr>
          <w:rFonts w:hint="eastAsia"/>
        </w:rPr>
        <w:t>学分</w:t>
      </w:r>
    </w:p>
    <w:p>
      <w:pPr>
        <w:ind w:firstLine="454"/>
      </w:pPr>
      <w:bookmarkStart w:id="2" w:name="_Toc144476169"/>
      <w:r>
        <w:rPr>
          <w:rFonts w:hint="eastAsia"/>
        </w:rPr>
        <w:t>二、课程定位</w:t>
      </w:r>
      <w:bookmarkEnd w:id="2"/>
    </w:p>
    <w:p>
      <w:pPr>
        <w:ind w:firstLine="454"/>
        <w:rPr>
          <w:rFonts w:hint="eastAsia"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（一）课程性质</w:t>
      </w:r>
    </w:p>
    <w:p>
      <w:pPr>
        <w:ind w:firstLine="454"/>
        <w:rPr>
          <w:rFonts w:hint="eastAsia"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本课程是</w:t>
      </w:r>
      <w:r>
        <w:rPr>
          <w:rFonts w:hint="eastAsia"/>
          <w:lang w:val="en-US" w:eastAsia="zh-CN"/>
        </w:rPr>
        <w:t>工程安全评价与监理</w:t>
      </w:r>
      <w:r>
        <w:rPr>
          <w:rFonts w:hint="eastAsia"/>
        </w:rPr>
        <w:t>专业</w:t>
      </w:r>
      <w:r>
        <w:rPr>
          <w:rFonts w:hint="eastAsia" w:cs="Times New Roman"/>
          <w:color w:val="000000" w:themeColor="text1"/>
          <w14:textFill>
            <w14:solidFill>
              <w14:schemeClr w14:val="tx1"/>
            </w14:solidFill>
          </w14:textFill>
        </w:rPr>
        <w:t>必修的专业基础课程，旨在培养学生的专业实践能力和职业素养。通过本课程的学习，学生将掌握</w:t>
      </w:r>
      <w:r>
        <w:rPr>
          <w:rFonts w:hint="eastAsia"/>
          <w:lang w:val="en-US" w:eastAsia="zh-CN"/>
        </w:rPr>
        <w:t>建设工程法律法规</w:t>
      </w:r>
      <w:r>
        <w:rPr>
          <w:rFonts w:hint="eastAsia" w:cs="Times New Roman"/>
          <w:color w:val="000000" w:themeColor="text1"/>
          <w14:textFill>
            <w14:solidFill>
              <w14:schemeClr w14:val="tx1"/>
            </w14:solidFill>
          </w14:textFill>
        </w:rPr>
        <w:t>的基本理论、方法和技能，为未来的职业生涯打下坚实的基础。本课程在专业人才培养中占据</w:t>
      </w:r>
      <w:r>
        <w:rPr>
          <w:rFonts w:hint="eastAsia" w:cs="Times New Roman"/>
          <w:color w:val="000000" w:themeColor="text1"/>
          <w:lang w:val="en-US" w:eastAsia="zh-CN"/>
          <w14:textFill>
            <w14:solidFill>
              <w14:schemeClr w14:val="tx1"/>
            </w14:solidFill>
          </w14:textFill>
        </w:rPr>
        <w:t>基</w:t>
      </w:r>
      <w:r>
        <w:rPr>
          <w:rFonts w:hint="eastAsia" w:cs="Times New Roman"/>
          <w:color w:val="000000" w:themeColor="text1"/>
          <w14:textFill>
            <w14:solidFill>
              <w14:schemeClr w14:val="tx1"/>
            </w14:solidFill>
          </w14:textFill>
        </w:rPr>
        <w:t>础地位，是学生实现职业技能提升和职业素养养成的重要途径。它是连接理论知识与实践应用的桥梁，对于提高学生的实践能力和综合素质具有重要作用。本课程前置课程有《建筑材料与检测》《军事理论教育》等，后续课程有《</w:t>
      </w:r>
      <w:r>
        <w:rPr>
          <w:rFonts w:hint="eastAsia" w:cs="Times New Roman"/>
          <w:color w:val="000000" w:themeColor="text1"/>
          <w:lang w:val="en-US" w:eastAsia="zh-CN"/>
          <w14:textFill>
            <w14:solidFill>
              <w14:schemeClr w14:val="tx1"/>
            </w14:solidFill>
          </w14:textFill>
        </w:rPr>
        <w:t>建筑制图与CAD</w:t>
      </w:r>
      <w:r>
        <w:rPr>
          <w:rFonts w:hint="eastAsia" w:cs="Times New Roman"/>
          <w:color w:val="000000" w:themeColor="text1"/>
          <w14:textFill>
            <w14:solidFill>
              <w14:schemeClr w14:val="tx1"/>
            </w14:solidFill>
          </w14:textFill>
        </w:rPr>
        <w:t>》《</w:t>
      </w:r>
      <w:r>
        <w:rPr>
          <w:rFonts w:hint="eastAsia" w:cs="Times New Roman"/>
          <w:color w:val="000000" w:themeColor="text1"/>
          <w:lang w:val="en-US" w:eastAsia="zh-CN"/>
          <w14:textFill>
            <w14:solidFill>
              <w14:schemeClr w14:val="tx1"/>
            </w14:solidFill>
          </w14:textFill>
        </w:rPr>
        <w:t>工程力学与结构</w:t>
      </w:r>
      <w:r>
        <w:rPr>
          <w:rFonts w:hint="eastAsia" w:cs="Times New Roman"/>
          <w:color w:val="000000" w:themeColor="text1"/>
          <w14:textFill>
            <w14:solidFill>
              <w14:schemeClr w14:val="tx1"/>
            </w14:solidFill>
          </w14:textFill>
        </w:rPr>
        <w:t>》《</w:t>
      </w:r>
      <w:r>
        <w:rPr>
          <w:rFonts w:hint="eastAsia" w:cs="Times New Roman"/>
          <w:color w:val="000000" w:themeColor="text1"/>
          <w:lang w:val="en-US" w:eastAsia="zh-CN"/>
          <w14:textFill>
            <w14:solidFill>
              <w14:schemeClr w14:val="tx1"/>
            </w14:solidFill>
          </w14:textFill>
        </w:rPr>
        <w:t>建筑工程测量</w:t>
      </w:r>
      <w:r>
        <w:rPr>
          <w:rFonts w:hint="eastAsia" w:cs="Times New Roman"/>
          <w:color w:val="000000" w:themeColor="text1"/>
          <w14:textFill>
            <w14:solidFill>
              <w14:schemeClr w14:val="tx1"/>
            </w14:solidFill>
          </w14:textFill>
        </w:rPr>
        <w:t>》等。通过学习本课程，可以参加相关的职业资格证书考试，如公路水运工程监理工程师、水利工程建设监理工程师等。</w:t>
      </w:r>
    </w:p>
    <w:p>
      <w:pPr>
        <w:ind w:firstLine="454"/>
        <w:rPr>
          <w:rFonts w:hint="eastAsia"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（二）课程任务</w:t>
      </w:r>
    </w:p>
    <w:p>
      <w:pPr>
        <w:ind w:firstLine="454"/>
        <w:rPr>
          <w:rFonts w:hint="eastAsia"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通过教学使学生掌握建设工程法律法规的基本概念、原则及体系构成</w:t>
      </w:r>
      <w:r>
        <w:rPr>
          <w:rFonts w:hint="eastAsia" w:cs="Times New Roman"/>
          <w:color w:val="000000" w:themeColor="text1"/>
          <w:lang w:eastAsia="zh-CN"/>
          <w14:textFill>
            <w14:solidFill>
              <w14:schemeClr w14:val="tx1"/>
            </w14:solidFill>
          </w14:textFill>
        </w:rPr>
        <w:t>，</w:t>
      </w:r>
      <w:r>
        <w:rPr>
          <w:rFonts w:hint="eastAsia" w:cs="Times New Roman"/>
          <w:color w:val="000000" w:themeColor="text1"/>
          <w14:textFill>
            <w14:solidFill>
              <w14:schemeClr w14:val="tx1"/>
            </w14:solidFill>
          </w14:textFill>
        </w:rPr>
        <w:t>理解其在工程建设活动中的作用和重要性。引导学生系统学习并理解建设工程领域的法律法规体系，培养学生具备法律意识和运用法律知识解决实际问题的能力</w:t>
      </w:r>
      <w:r>
        <w:rPr>
          <w:rFonts w:hint="eastAsia" w:cs="Times New Roman"/>
          <w:color w:val="000000" w:themeColor="text1"/>
          <w:lang w:eastAsia="zh-CN"/>
          <w14:textFill>
            <w14:solidFill>
              <w14:schemeClr w14:val="tx1"/>
            </w14:solidFill>
          </w14:textFill>
        </w:rPr>
        <w:t>，</w:t>
      </w:r>
      <w:r>
        <w:rPr>
          <w:rFonts w:hint="eastAsia" w:cs="Times New Roman"/>
          <w:color w:val="000000" w:themeColor="text1"/>
          <w14:textFill>
            <w14:solidFill>
              <w14:schemeClr w14:val="tx1"/>
            </w14:solidFill>
          </w14:textFill>
        </w:rPr>
        <w:t>为未来的工程建设活动提供坚实的法律保障。</w:t>
      </w:r>
    </w:p>
    <w:p>
      <w:pPr>
        <w:ind w:firstLine="454"/>
      </w:pPr>
      <w:bookmarkStart w:id="3" w:name="_Toc144476170"/>
      <w:r>
        <w:rPr>
          <w:rFonts w:hint="eastAsia"/>
        </w:rPr>
        <w:t>三、课程设计</w:t>
      </w:r>
      <w:bookmarkEnd w:id="3"/>
    </w:p>
    <w:p>
      <w:pPr>
        <w:ind w:firstLine="454"/>
      </w:pPr>
      <w:r>
        <w:rPr>
          <w:rFonts w:hint="eastAsia"/>
        </w:rPr>
        <w:t>（一）设计理念</w:t>
      </w:r>
    </w:p>
    <w:p>
      <w:pPr>
        <w:ind w:firstLine="454"/>
      </w:pPr>
      <w:r>
        <w:rPr>
          <w:rFonts w:hint="eastAsia"/>
        </w:rPr>
        <w:t>课程以完成课程学习任务和培养后续课程学习能力为导向，贯彻以下教育教学理念：</w:t>
      </w:r>
    </w:p>
    <w:p>
      <w:pPr>
        <w:ind w:firstLine="454"/>
      </w:pPr>
      <w:r>
        <w:rPr>
          <w:rFonts w:hint="eastAsia"/>
        </w:rPr>
        <w:t>1.终身学习的教育观： 课程设计锚定学生终身发展需要“学会认知”、“学会做事”、“学会共同生活”、“学会生存”的教育观。以“学”为中心，强化学生自主学习，重视学生的学习权，实现“教学”向“学习”转换，让学生学会学习，使受教育者成为自我教育者；</w:t>
      </w:r>
    </w:p>
    <w:p>
      <w:pPr>
        <w:ind w:firstLine="454"/>
      </w:pPr>
      <w:r>
        <w:rPr>
          <w:rFonts w:hint="eastAsia"/>
        </w:rPr>
        <w:t>2.多元智能的学生观：课程设计尊重学生是一个多元智能的群体，具有不同禀赋的学生观。依据个体智能结构差异特点，因材施教，努力发掘学习潜能，发展个性品质，让学习成为学生体验智慧开启、增强自信的快乐过程，使教学活动成为塑造成功者的教育过程；</w:t>
      </w:r>
    </w:p>
    <w:p>
      <w:pPr>
        <w:ind w:firstLine="454"/>
      </w:pPr>
      <w:r>
        <w:rPr>
          <w:rFonts w:hint="eastAsia"/>
        </w:rPr>
        <w:t>3.建构主义的学习观：课程设计恪守知识是在一定的情境中，利用必要的学习资源与他人主动建构获得的学习观。为学生创设适宜的学习情境，运用适宜的教法，提供丰富的学习资源，使学生在师生互动、生生互动的活动中，主动地建构他们自己的经验和知识；</w:t>
      </w:r>
    </w:p>
    <w:p>
      <w:pPr>
        <w:ind w:firstLine="454"/>
      </w:pPr>
      <w:r>
        <w:rPr>
          <w:rFonts w:hint="eastAsia"/>
        </w:rPr>
        <w:t>4.能力本位的质量观：课程设计注重培养学生完成课程学习任务的兴趣和后续课程学习任务能力的质量观。通过知识构建过程系统化的课程学习，使学生在个人实践经验的基础上，完成“情境”“协作”“会话”和“意义建构”全过程，获得自我发展的内化的学习能力；</w:t>
      </w:r>
    </w:p>
    <w:p>
      <w:pPr>
        <w:ind w:firstLine="454"/>
      </w:pPr>
      <w:r>
        <w:rPr>
          <w:rFonts w:hint="eastAsia"/>
        </w:rPr>
        <w:t>5.过程导向的课程观：课程设计以理论和实践一体化的工作过程为导向的课程观。构建“工作过程完整”的学习过程。从</w:t>
      </w:r>
      <w:r>
        <w:rPr>
          <w:rFonts w:hint="eastAsia"/>
          <w:lang w:val="en-US" w:eastAsia="zh-CN"/>
        </w:rPr>
        <w:t>监理工程师的</w:t>
      </w:r>
      <w:r>
        <w:rPr>
          <w:rFonts w:hint="eastAsia"/>
        </w:rPr>
        <w:t>工作岗位出发选择课程内容，按照</w:t>
      </w:r>
      <w:r>
        <w:rPr>
          <w:rFonts w:hint="eastAsia"/>
          <w:lang w:val="en-US" w:eastAsia="zh-CN"/>
        </w:rPr>
        <w:t>工程</w:t>
      </w:r>
      <w:r>
        <w:rPr>
          <w:rFonts w:hint="eastAsia"/>
        </w:rPr>
        <w:t>师职业能力从易到难的顺序安排教学，切实解决“怎么做”（经验）和“怎么做更好”（策略）的问题；</w:t>
      </w:r>
    </w:p>
    <w:p>
      <w:pPr>
        <w:ind w:firstLine="454"/>
      </w:pPr>
      <w:r>
        <w:rPr>
          <w:rFonts w:hint="eastAsia"/>
        </w:rPr>
        <w:t>6.行动导向的教学观：课程设计强调工作过程与学习过程相统一的教学观。强化学生是行动主体，遵循“资讯、计划、决策、 实施、检查、评估” 的完整“行动”过程，通过师生互动，让学生“独立地获取信息、制订和实施计划、检查评价成果”，建构属于自己的经验和知识体系。</w:t>
      </w:r>
    </w:p>
    <w:p>
      <w:pPr>
        <w:ind w:firstLine="454"/>
      </w:pPr>
      <w:r>
        <w:rPr>
          <w:rFonts w:hint="eastAsia"/>
        </w:rPr>
        <w:t>（二）设计思路</w:t>
      </w:r>
    </w:p>
    <w:p>
      <w:pPr>
        <w:ind w:firstLine="454"/>
      </w:pPr>
      <w:r>
        <w:rPr>
          <w:rFonts w:hint="eastAsia"/>
        </w:rPr>
        <w:t>课程依据上述设计理念，按照以下设计思路组织课程教学内容：</w:t>
      </w:r>
    </w:p>
    <w:p>
      <w:pPr>
        <w:ind w:firstLine="454"/>
        <w:rPr>
          <w:rFonts w:hint="eastAsia"/>
        </w:rPr>
      </w:pPr>
      <w:bookmarkStart w:id="4" w:name="_Toc144476171"/>
      <w:r>
        <w:rPr>
          <w:rFonts w:hint="eastAsia"/>
        </w:rPr>
        <w:t>1.校企合作组织课程重构：与建筑施工、监理相关的政府单位、企事业单位合作，共同组织课程内容重组重构。利用学校和合作机构的资源，共同创设课程实施条件，共建共享型数字化课程教学资源，共同制订学生学习成效考核评价办法，共建双师型课程教学团队；</w:t>
      </w:r>
    </w:p>
    <w:p>
      <w:pPr>
        <w:ind w:firstLine="454"/>
        <w:rPr>
          <w:rFonts w:hint="eastAsia"/>
        </w:rPr>
      </w:pPr>
      <w:r>
        <w:rPr>
          <w:rFonts w:hint="eastAsia"/>
        </w:rPr>
        <w:t>2.典型任务确定课程方案：分析工程安全评价与监理的典型工作任务，构建工作过程系统化课程方案。通过典型工作任务分析，形成“典型工作任务、岗位职责任务和能力目标分析”结果，以“会什么”的能力为依据选择课程内容，并按照认知能力易难顺序安排教学；</w:t>
      </w:r>
    </w:p>
    <w:p>
      <w:pPr>
        <w:ind w:firstLine="454"/>
        <w:rPr>
          <w:rFonts w:hint="eastAsia"/>
        </w:rPr>
      </w:pPr>
      <w:r>
        <w:rPr>
          <w:rFonts w:hint="eastAsia"/>
        </w:rPr>
        <w:t>3.理实交替实施课程教学：遵循理论联系实际的教学原则，组织理实交替的学习课堂。以教室、实训室/模拟厂房为课堂，以实践为课程学习的支撑点，教学过程与工程安全评价、监理工作过程密切结合，使学生具备一定的职业经验、实践知识以及初步理论知识；</w:t>
      </w:r>
    </w:p>
    <w:p>
      <w:pPr>
        <w:ind w:firstLine="454"/>
        <w:rPr>
          <w:rFonts w:hint="eastAsia"/>
        </w:rPr>
      </w:pPr>
      <w:r>
        <w:rPr>
          <w:rFonts w:hint="eastAsia"/>
        </w:rPr>
        <w:t>4.课程目标注重工作任务：工程安全评价与监理目标聚焦于工作任务的实际应用。学生了工程安全评价与监理的核心知识，理解施工流程，并学会制定安全检查表和安全管理台账。课程强调实践技能的培养，使学生具备解决实际问题的能力。同时，注重团队协作与沟通能力的培养，以适应多部门协作的施工环境。通过课程学习，学生能够胜任工程安全评价与监理工作；</w:t>
      </w:r>
    </w:p>
    <w:p>
      <w:pPr>
        <w:ind w:firstLine="454"/>
      </w:pPr>
      <w:r>
        <w:rPr>
          <w:rFonts w:hint="eastAsia"/>
        </w:rPr>
        <w:t>5.项目工作引领情境学习：以具有挑战性并促使工作能力提高的项目工作任务为导向，精心创设学习情境。有针对性设计学习与工作合为一体的课程学习环节，注重学生学习者角色，在完成项目任务的过程中，实现理论、实践一体化学习和相关学科知识一体化学习。四、课程目标</w:t>
      </w:r>
      <w:bookmarkEnd w:id="4"/>
    </w:p>
    <w:p>
      <w:pPr>
        <w:ind w:firstLine="454"/>
        <w:rPr>
          <w:rFonts w:hint="eastAsia"/>
        </w:rPr>
      </w:pPr>
      <w:r>
        <w:rPr>
          <w:rFonts w:hint="eastAsia"/>
        </w:rPr>
        <w:t>（一）总体目标</w:t>
      </w:r>
    </w:p>
    <w:p>
      <w:pPr>
        <w:ind w:firstLine="454"/>
        <w:rPr>
          <w:rFonts w:hint="eastAsia"/>
          <w:lang w:eastAsia="zh-CN"/>
        </w:rPr>
      </w:pPr>
      <w:r>
        <w:rPr>
          <w:rFonts w:hint="eastAsia"/>
          <w:lang w:val="en-US" w:eastAsia="zh-CN"/>
        </w:rPr>
        <w:t>通过本课程的学习</w:t>
      </w:r>
      <w:r>
        <w:rPr>
          <w:rFonts w:hint="eastAsia"/>
        </w:rPr>
        <w:t>使学生系统掌握建设工程领域的法律法规体系、理解其立法背景、法律原则和具体条款</w:t>
      </w:r>
      <w:r>
        <w:rPr>
          <w:rFonts w:hint="eastAsia"/>
          <w:lang w:eastAsia="zh-CN"/>
        </w:rPr>
        <w:t>。</w:t>
      </w:r>
      <w:r>
        <w:rPr>
          <w:rFonts w:hint="eastAsia"/>
          <w:lang w:val="en-US" w:eastAsia="zh-CN"/>
        </w:rPr>
        <w:t>也</w:t>
      </w:r>
      <w:r>
        <w:rPr>
          <w:rFonts w:hint="eastAsia"/>
        </w:rPr>
        <w:t>是为学生提供全面的法律知识框架，培养其具备扎实的法律素养和实践能力，以便在未来的建设工程实践中能够依法行事、规避法律风险，并有效维护自身和他人的合法权益。</w:t>
      </w:r>
    </w:p>
    <w:p>
      <w:pPr>
        <w:ind w:firstLine="454"/>
        <w:rPr>
          <w:rFonts w:hint="default"/>
        </w:rPr>
      </w:pPr>
      <w:r>
        <w:rPr>
          <w:rFonts w:hint="eastAsia"/>
        </w:rPr>
        <w:t>具体目标</w:t>
      </w:r>
    </w:p>
    <w:p>
      <w:pPr>
        <w:ind w:firstLine="454"/>
      </w:pPr>
      <w:r>
        <w:rPr>
          <w:rFonts w:hint="eastAsia"/>
        </w:rPr>
        <w:t>1.素质目标：通过课程学习，使学生逐渐养成以下情感、态度和价值观：</w:t>
      </w:r>
    </w:p>
    <w:p>
      <w:pPr>
        <w:ind w:firstLine="454"/>
      </w:pPr>
      <w:r>
        <w:rPr>
          <w:rFonts w:hint="eastAsia"/>
        </w:rPr>
        <w:t>（1）具有爱岗敬业、团队合作、遵章守纪的良好职业道德；</w:t>
      </w:r>
    </w:p>
    <w:p>
      <w:pPr>
        <w:ind w:firstLine="454"/>
      </w:pPr>
      <w:r>
        <w:rPr>
          <w:rFonts w:hint="eastAsia"/>
        </w:rPr>
        <w:t>（2）崇尚宪法、遵法守纪、崇德向善、诚实守信、尊重生命、热爱劳动，履行道德准则和行为规范，具有社会责任感和社会参与意识；</w:t>
      </w:r>
    </w:p>
    <w:p>
      <w:pPr>
        <w:ind w:firstLine="454"/>
      </w:pPr>
      <w:r>
        <w:rPr>
          <w:rFonts w:hint="eastAsia"/>
        </w:rPr>
        <w:t>（3）</w:t>
      </w:r>
      <w:r>
        <w:rPr>
          <w:rFonts w:hint="eastAsia" w:cs="Times New Roman"/>
          <w:lang w:val="en-US" w:eastAsia="zh-CN"/>
        </w:rPr>
        <w:t>具有</w:t>
      </w:r>
      <w:r>
        <w:rPr>
          <w:rFonts w:hint="eastAsia" w:cs="Times New Roman"/>
        </w:rPr>
        <w:t>创新精神和创新能力</w:t>
      </w:r>
      <w:r>
        <w:rPr>
          <w:rFonts w:hint="eastAsia" w:cs="Times New Roman"/>
          <w:lang w:eastAsia="zh-CN"/>
        </w:rPr>
        <w:t>、</w:t>
      </w:r>
      <w:r>
        <w:rPr>
          <w:rFonts w:hint="eastAsia" w:cs="Times New Roman"/>
        </w:rPr>
        <w:t>坚守原则、诚实守信、注重社会效益和可持续发展</w:t>
      </w:r>
      <w:r>
        <w:rPr>
          <w:rFonts w:hint="eastAsia"/>
        </w:rPr>
        <w:t>；</w:t>
      </w:r>
    </w:p>
    <w:p>
      <w:pPr>
        <w:ind w:firstLine="454"/>
      </w:pPr>
      <w:r>
        <w:rPr>
          <w:rFonts w:hint="eastAsia"/>
        </w:rPr>
        <w:t>（4）培养勇于奋斗、乐观向上，具有自我管理能力、职业生涯规划的意识，有较强的集体意识和团队合作精神。</w:t>
      </w:r>
    </w:p>
    <w:p>
      <w:pPr>
        <w:ind w:firstLine="454"/>
      </w:pPr>
      <w:r>
        <w:rPr>
          <w:rFonts w:hint="eastAsia"/>
        </w:rPr>
        <w:t>2.知识目标：通过课程学习，使学生逐渐具备以下知识和认知：</w:t>
      </w:r>
    </w:p>
    <w:p>
      <w:pPr>
        <w:ind w:firstLine="454"/>
        <w:rPr>
          <w:rFonts w:hint="eastAsia"/>
        </w:rPr>
      </w:pPr>
      <w:r>
        <w:rPr>
          <w:rFonts w:hint="eastAsia"/>
        </w:rPr>
        <w:t>（1）掌握建设工程许可制度，了解施工许可的申请条件、程序及开工、延期、中止等管理要求；</w:t>
      </w:r>
    </w:p>
    <w:p>
      <w:pPr>
        <w:ind w:firstLine="454"/>
        <w:rPr>
          <w:rFonts w:hint="eastAsia"/>
        </w:rPr>
      </w:pPr>
      <w:r>
        <w:rPr>
          <w:rFonts w:hint="eastAsia"/>
        </w:rPr>
        <w:t>（2）掌握建设工程安全生产特点与管理要素、安全生产管理体制、施工现场管理的相关知识</w:t>
      </w:r>
      <w:r>
        <w:rPr>
          <w:rFonts w:hint="eastAsia"/>
          <w:lang w:eastAsia="zh-CN"/>
        </w:rPr>
        <w:t>；</w:t>
      </w:r>
      <w:r>
        <w:rPr>
          <w:rFonts w:hint="eastAsia"/>
        </w:rPr>
        <w:t>掌握工程监理的管理体系、遵循的基本原则、工作程序、监理制度等方面的知识；</w:t>
      </w:r>
    </w:p>
    <w:p>
      <w:pPr>
        <w:ind w:firstLine="454"/>
        <w:rPr>
          <w:rFonts w:hint="eastAsia"/>
        </w:rPr>
      </w:pPr>
      <w:r>
        <w:rPr>
          <w:rFonts w:hint="eastAsia"/>
        </w:rPr>
        <w:t>（3）掌握建设工程承包制度，包括发包与承包的法律规定，以及招标、投标的具体操作流程和相关法律知识。</w:t>
      </w:r>
    </w:p>
    <w:p>
      <w:pPr>
        <w:ind w:firstLine="454"/>
      </w:pPr>
      <w:r>
        <w:rPr>
          <w:rFonts w:hint="eastAsia"/>
        </w:rPr>
        <w:t>3.能力目标：通过课程学习，使学生逐渐具备以下能力或技能：</w:t>
      </w:r>
    </w:p>
    <w:p>
      <w:pPr>
        <w:ind w:firstLine="454"/>
        <w:rPr>
          <w:rFonts w:hint="eastAsia" w:cs="Times New Roman"/>
        </w:rPr>
      </w:pPr>
      <w:r>
        <w:rPr>
          <w:rFonts w:hint="eastAsia" w:cs="Times New Roman"/>
        </w:rPr>
        <w:t>（1）能够熟练掌握与本专业从事职业活动相关的国家法律、行业规定，掌握绿色生产、环境保护、安全防护、质量管理等相关知识与技能；</w:t>
      </w:r>
    </w:p>
    <w:p>
      <w:pPr>
        <w:ind w:firstLine="454"/>
        <w:rPr>
          <w:rFonts w:hint="eastAsia" w:cs="Times New Roman"/>
        </w:rPr>
      </w:pPr>
      <w:r>
        <w:rPr>
          <w:rFonts w:hint="eastAsia" w:cs="Times New Roman"/>
        </w:rPr>
        <w:t>（2）</w:t>
      </w:r>
      <w:r>
        <w:rPr>
          <w:rFonts w:hint="default" w:cs="Times New Roman"/>
        </w:rPr>
        <w:t>能够准确解读法律条文，理解其含义和适用范围</w:t>
      </w:r>
      <w:r>
        <w:rPr>
          <w:rFonts w:hint="eastAsia" w:cs="Times New Roman"/>
        </w:rPr>
        <w:t>；</w:t>
      </w:r>
    </w:p>
    <w:p>
      <w:pPr>
        <w:ind w:firstLine="454"/>
        <w:rPr>
          <w:rFonts w:hint="eastAsia" w:cs="Times New Roman"/>
        </w:rPr>
      </w:pPr>
      <w:r>
        <w:rPr>
          <w:rFonts w:hint="eastAsia" w:cs="Times New Roman"/>
        </w:rPr>
        <w:t>（3）</w:t>
      </w:r>
      <w:r>
        <w:rPr>
          <w:rFonts w:hint="default" w:cs="Times New Roman"/>
        </w:rPr>
        <w:t>能够识别和评估工程建设过程中可能存在的法律风险，并制定相应的防范措施和应对策略，确保工程建设的顺利进行</w:t>
      </w:r>
      <w:r>
        <w:rPr>
          <w:rFonts w:hint="eastAsia" w:cs="Times New Roman"/>
        </w:rPr>
        <w:t>；</w:t>
      </w:r>
    </w:p>
    <w:p>
      <w:pPr>
        <w:ind w:firstLine="454"/>
        <w:rPr>
          <w:rFonts w:hint="eastAsia" w:cs="Times New Roman"/>
        </w:rPr>
      </w:pPr>
      <w:r>
        <w:rPr>
          <w:rFonts w:hint="eastAsia" w:cs="Times New Roman"/>
        </w:rPr>
        <w:t>（4）</w:t>
      </w:r>
      <w:bookmarkStart w:id="5" w:name="_Toc144476172"/>
      <w:r>
        <w:rPr>
          <w:rFonts w:hint="default" w:cs="Times New Roman"/>
        </w:rPr>
        <w:t>能够对工程建设的各个环节进行法律合规性审查，包括合同审查、招标文件审查、施工组织设计审查等，确保工程建设的每一个环节都符合法律法规的要求</w:t>
      </w:r>
      <w:r>
        <w:rPr>
          <w:rFonts w:hint="eastAsia" w:cs="Times New Roman"/>
        </w:rPr>
        <w:t>。</w:t>
      </w:r>
    </w:p>
    <w:p>
      <w:pPr>
        <w:ind w:firstLine="454"/>
      </w:pPr>
      <w:r>
        <w:rPr>
          <w:rFonts w:hint="eastAsia"/>
        </w:rPr>
        <w:t>五、教学内容与安排</w:t>
      </w:r>
      <w:bookmarkEnd w:id="5"/>
    </w:p>
    <w:p>
      <w:pPr>
        <w:ind w:firstLine="454"/>
      </w:pPr>
      <w:r>
        <w:rPr>
          <w:rFonts w:hint="eastAsia"/>
        </w:rPr>
        <w:t>（一）教学内容设计原则</w:t>
      </w:r>
    </w:p>
    <w:p>
      <w:pPr>
        <w:pStyle w:val="14"/>
        <w:ind w:left="0" w:firstLine="454"/>
      </w:pPr>
      <w:r>
        <w:rPr>
          <w:rFonts w:hint="eastAsia"/>
        </w:rPr>
        <w:t>依据</w:t>
      </w:r>
      <w:r>
        <w:rPr>
          <w:rFonts w:hint="eastAsia"/>
          <w:lang w:val="en-US" w:eastAsia="zh-CN"/>
        </w:rPr>
        <w:t>工程安全评价与监理</w:t>
      </w:r>
      <w:r>
        <w:rPr>
          <w:rFonts w:hint="eastAsia"/>
        </w:rPr>
        <w:t>专业培养目标和课程设计理念，教学内容设计贯彻以下教学原则：</w:t>
      </w:r>
    </w:p>
    <w:p>
      <w:pPr>
        <w:ind w:firstLine="454"/>
      </w:pPr>
      <w:r>
        <w:rPr>
          <w:rFonts w:hint="eastAsia"/>
        </w:rPr>
        <w:t>1.启发式原则：即任何学习活动都要建立在学生自觉需要的基础上，应当充分调动学生的主动性和积极性。启发式教学原则要求，“启而能发，发而能导，导而能活，活而不乱”，而启发的标志在于，教师能够围绕教学目标激起学生积极的思维活动。</w:t>
      </w:r>
    </w:p>
    <w:p>
      <w:pPr>
        <w:ind w:firstLine="454"/>
      </w:pPr>
      <w:r>
        <w:rPr>
          <w:rFonts w:hint="eastAsia"/>
        </w:rPr>
        <w:t>2.循序渐进原则：主张教学既要按照内容的深浅程度由易到难，又要按照学生的年龄特征由浅入深、循序渐进，因势利导，进而取得好的教学效果。</w:t>
      </w:r>
    </w:p>
    <w:p>
      <w:pPr>
        <w:ind w:firstLine="454"/>
      </w:pPr>
      <w:r>
        <w:rPr>
          <w:rFonts w:hint="eastAsia"/>
        </w:rPr>
        <w:t>3.因材施教原则：因材施教，就是按一定的教学目标，针对学生的个别差异和具体特点，采取不同的教学措施。这条原则事实上是学生的个性特征和身心发展规律在教学中的反映，学生的知识水平、先前的生活经验、兴趣爱好、个性倾向等等彼此之间毕竟有一定的差异。</w:t>
      </w:r>
    </w:p>
    <w:p>
      <w:pPr>
        <w:ind w:firstLine="454"/>
      </w:pPr>
      <w:r>
        <w:rPr>
          <w:rFonts w:hint="eastAsia"/>
        </w:rPr>
        <w:t>4.教学相长原则：要求教学过程形成师生互动，相互沟通，相互影响，相互补充的信息互动，通过这种信息交流，实现共识、共享、共进。</w:t>
      </w:r>
    </w:p>
    <w:p>
      <w:pPr>
        <w:ind w:firstLine="454"/>
      </w:pPr>
      <w:r>
        <w:rPr>
          <w:rFonts w:hint="eastAsia"/>
        </w:rPr>
        <w:t>5.量力而行原则：要求教学起点和终点要建立在学生通过一定的努力可能达到的知识水平和智力发展水平上，并据此来确定教学知识的广度、难度和教学的进度。</w:t>
      </w:r>
    </w:p>
    <w:p>
      <w:pPr>
        <w:ind w:firstLine="454"/>
      </w:pPr>
      <w:r>
        <w:rPr>
          <w:rFonts w:hint="eastAsia"/>
        </w:rPr>
        <w:t>（二）教学内容设计</w:t>
      </w:r>
    </w:p>
    <w:p>
      <w:pPr>
        <w:ind w:firstLine="454"/>
      </w:pPr>
      <w:r>
        <w:rPr>
          <w:rFonts w:hint="eastAsia"/>
        </w:rPr>
        <w:t>依据课程教学内容设计原则，课程教学内容设计见表1。</w:t>
      </w:r>
    </w:p>
    <w:p>
      <w:pPr>
        <w:ind w:firstLine="454"/>
        <w:jc w:val="center"/>
      </w:pPr>
      <w:r>
        <w:rPr>
          <w:rFonts w:hint="eastAsia"/>
        </w:rPr>
        <w:t>表1：课程教学内容设计表</w:t>
      </w:r>
    </w:p>
    <w:tbl>
      <w:tblPr>
        <w:tblStyle w:val="24"/>
        <w:tblW w:w="8890" w:type="dxa"/>
        <w:tblInd w:w="0" w:type="dxa"/>
        <w:tblLayout w:type="autofit"/>
        <w:tblCellMar>
          <w:top w:w="0" w:type="dxa"/>
          <w:left w:w="0" w:type="dxa"/>
          <w:bottom w:w="0" w:type="dxa"/>
          <w:right w:w="0" w:type="dxa"/>
        </w:tblCellMar>
      </w:tblPr>
      <w:tblGrid>
        <w:gridCol w:w="459"/>
        <w:gridCol w:w="1158"/>
        <w:gridCol w:w="1479"/>
        <w:gridCol w:w="1519"/>
        <w:gridCol w:w="1618"/>
        <w:gridCol w:w="1549"/>
        <w:gridCol w:w="554"/>
        <w:gridCol w:w="554"/>
      </w:tblGrid>
      <w:tr>
        <w:tblPrEx>
          <w:tblCellMar>
            <w:top w:w="0" w:type="dxa"/>
            <w:left w:w="0" w:type="dxa"/>
            <w:bottom w:w="0" w:type="dxa"/>
            <w:right w:w="0" w:type="dxa"/>
          </w:tblCellMar>
        </w:tblPrEx>
        <w:trPr>
          <w:trHeight w:val="420" w:hRule="atLeast"/>
          <w:tblHeader/>
        </w:trPr>
        <w:tc>
          <w:tcPr>
            <w:tcW w:w="459" w:type="dxa"/>
            <w:vMerge w:val="restart"/>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r>
              <w:rPr>
                <w:rFonts w:hint="eastAsia"/>
                <w:b/>
                <w:bCs/>
              </w:rPr>
              <w:t>序号</w:t>
            </w:r>
          </w:p>
        </w:tc>
        <w:tc>
          <w:tcPr>
            <w:tcW w:w="1158"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r>
              <w:rPr>
                <w:rFonts w:hint="eastAsia"/>
                <w:b/>
                <w:bCs/>
              </w:rPr>
              <w:t>教学单元</w:t>
            </w:r>
          </w:p>
        </w:tc>
        <w:tc>
          <w:tcPr>
            <w:tcW w:w="1479"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eastAsia="宋体"/>
                <w:b/>
                <w:bCs/>
                <w:lang w:eastAsia="zh-CN"/>
              </w:rPr>
            </w:pPr>
            <w:r>
              <w:rPr>
                <w:rFonts w:hint="eastAsia"/>
                <w:b/>
                <w:bCs/>
              </w:rPr>
              <w:t>教学要点</w:t>
            </w:r>
          </w:p>
          <w:p>
            <w:pPr>
              <w:pStyle w:val="2"/>
              <w:jc w:val="center"/>
              <w:rPr>
                <w:b/>
                <w:bCs/>
              </w:rPr>
            </w:pPr>
            <w:r>
              <w:rPr>
                <w:rFonts w:hint="eastAsia"/>
                <w:b/>
                <w:bCs/>
              </w:rPr>
              <w:t>赛证要点</w:t>
            </w:r>
          </w:p>
        </w:tc>
        <w:tc>
          <w:tcPr>
            <w:tcW w:w="1519"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r>
              <w:rPr>
                <w:rFonts w:hint="eastAsia"/>
                <w:b/>
                <w:bCs/>
              </w:rPr>
              <w:t>素质目标</w:t>
            </w:r>
          </w:p>
        </w:tc>
        <w:tc>
          <w:tcPr>
            <w:tcW w:w="1618"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r>
              <w:rPr>
                <w:rFonts w:hint="eastAsia"/>
                <w:b/>
                <w:bCs/>
              </w:rPr>
              <w:t>知识目标</w:t>
            </w:r>
          </w:p>
        </w:tc>
        <w:tc>
          <w:tcPr>
            <w:tcW w:w="1549"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r>
              <w:rPr>
                <w:rFonts w:hint="eastAsia"/>
                <w:b/>
                <w:bCs/>
              </w:rPr>
              <w:t>能力目标</w:t>
            </w:r>
          </w:p>
        </w:tc>
        <w:tc>
          <w:tcPr>
            <w:tcW w:w="1108" w:type="dxa"/>
            <w:gridSpan w:val="2"/>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r>
              <w:rPr>
                <w:rFonts w:hint="eastAsia"/>
                <w:b/>
                <w:bCs/>
              </w:rPr>
              <w:t>学时</w:t>
            </w:r>
          </w:p>
        </w:tc>
      </w:tr>
      <w:tr>
        <w:tblPrEx>
          <w:tblCellMar>
            <w:top w:w="0" w:type="dxa"/>
            <w:left w:w="0" w:type="dxa"/>
            <w:bottom w:w="0" w:type="dxa"/>
            <w:right w:w="0" w:type="dxa"/>
          </w:tblCellMar>
        </w:tblPrEx>
        <w:trPr>
          <w:trHeight w:val="500" w:hRule="atLeast"/>
          <w:tblHeader/>
        </w:trPr>
        <w:tc>
          <w:tcPr>
            <w:tcW w:w="459" w:type="dxa"/>
            <w:vMerge w:val="continue"/>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p>
        </w:tc>
        <w:tc>
          <w:tcPr>
            <w:tcW w:w="1158"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p>
        </w:tc>
        <w:tc>
          <w:tcPr>
            <w:tcW w:w="1479"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p>
        </w:tc>
        <w:tc>
          <w:tcPr>
            <w:tcW w:w="1519"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p>
        </w:tc>
        <w:tc>
          <w:tcPr>
            <w:tcW w:w="1618"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p>
        </w:tc>
        <w:tc>
          <w:tcPr>
            <w:tcW w:w="1549"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r>
              <w:rPr>
                <w:rFonts w:hint="eastAsia"/>
                <w:b/>
                <w:bCs/>
              </w:rPr>
              <w:t>理</w:t>
            </w:r>
          </w:p>
        </w:tc>
        <w:tc>
          <w:tcPr>
            <w:tcW w:w="554"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b/>
                <w:bCs/>
              </w:rPr>
            </w:pPr>
            <w:r>
              <w:rPr>
                <w:rFonts w:hint="eastAsia"/>
                <w:b/>
                <w:bCs/>
              </w:rPr>
              <w:t>实</w:t>
            </w:r>
          </w:p>
        </w:tc>
      </w:tr>
      <w:tr>
        <w:tblPrEx>
          <w:tblCellMar>
            <w:top w:w="0" w:type="dxa"/>
            <w:left w:w="0" w:type="dxa"/>
            <w:bottom w:w="0" w:type="dxa"/>
            <w:right w:w="0" w:type="dxa"/>
          </w:tblCellMar>
        </w:tblPrEx>
        <w:trPr>
          <w:trHeight w:val="1800"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1</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DFDFE"/>
              <w:spacing w:before="0" w:beforeAutospacing="0" w:after="0" w:afterAutospacing="0" w:line="26" w:lineRule="atLeast"/>
              <w:ind w:left="0" w:leftChars="0" w:right="0" w:firstLine="0" w:firstLineChars="0"/>
              <w:jc w:val="center"/>
              <w:rPr>
                <w:rFonts w:hint="eastAsia" w:ascii="宋体" w:hAnsi="宋体" w:eastAsia="宋体" w:cs="Times New Roman"/>
                <w:b w:val="0"/>
                <w:bCs w:val="0"/>
                <w:spacing w:val="10"/>
                <w:kern w:val="0"/>
                <w:sz w:val="21"/>
                <w:szCs w:val="24"/>
                <w:lang w:val="en-US" w:eastAsia="zh-CN" w:bidi="ar-SA"/>
              </w:rPr>
            </w:pPr>
            <w:r>
              <w:rPr>
                <w:rFonts w:hint="default" w:ascii="宋体" w:hAnsi="宋体" w:eastAsia="宋体" w:cs="Times New Roman"/>
                <w:b w:val="0"/>
                <w:bCs w:val="0"/>
                <w:spacing w:val="10"/>
                <w:kern w:val="0"/>
                <w:sz w:val="21"/>
                <w:szCs w:val="24"/>
                <w:lang w:val="en-US" w:eastAsia="zh-CN" w:bidi="ar-SA"/>
              </w:rPr>
              <w:t>建设法律法规概述</w:t>
            </w:r>
          </w:p>
          <w:p>
            <w:pPr>
              <w:pStyle w:val="2"/>
              <w:jc w:val="center"/>
              <w:rPr>
                <w:rFonts w:hint="eastAsia" w:ascii="宋体" w:hAnsi="宋体" w:eastAsia="宋体" w:cs="Times New Roman"/>
                <w:b w:val="0"/>
                <w:bCs w:val="0"/>
                <w:spacing w:val="10"/>
                <w:kern w:val="0"/>
                <w:sz w:val="21"/>
                <w:szCs w:val="24"/>
                <w:lang w:val="en-US" w:eastAsia="zh-CN" w:bidi="ar-SA"/>
              </w:rPr>
            </w:pP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(1)明确建设法律法规的定义、范围、特点和作用</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(2)建设法律法规的层次结构，包括法律、行政法规、地方性法规、部门规章</w:t>
            </w:r>
          </w:p>
          <w:p>
            <w:pPr>
              <w:pStyle w:val="2"/>
              <w:rPr>
                <w:rFonts w:hint="eastAsia" w:ascii="宋体" w:hAnsi="宋体" w:eastAsia="宋体" w:cs="Times New Roman"/>
                <w:b w:val="0"/>
                <w:bCs w:val="0"/>
                <w:spacing w:val="10"/>
                <w:kern w:val="0"/>
                <w:sz w:val="21"/>
                <w:szCs w:val="24"/>
                <w:lang w:val="en-US" w:eastAsia="zh-CN" w:bidi="ar-SA"/>
              </w:rPr>
            </w:pP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(1)树立正确的法律观念，增强法治意识</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(2)遵守国家法律制度，规范自身行为，培养遵纪守法的意识和习惯</w:t>
            </w:r>
          </w:p>
          <w:p>
            <w:pPr>
              <w:pStyle w:val="2"/>
              <w:rPr>
                <w:rFonts w:hint="eastAsia" w:ascii="宋体" w:hAnsi="宋体" w:eastAsia="宋体" w:cs="Times New Roman"/>
                <w:b w:val="0"/>
                <w:bCs w:val="0"/>
                <w:spacing w:val="10"/>
                <w:kern w:val="0"/>
                <w:sz w:val="21"/>
                <w:szCs w:val="24"/>
                <w:lang w:val="en-US" w:eastAsia="zh-CN" w:bidi="ar-SA"/>
              </w:rPr>
            </w:pPr>
          </w:p>
          <w:p>
            <w:pPr>
              <w:pStyle w:val="2"/>
              <w:rPr>
                <w:rFonts w:hint="eastAsia" w:ascii="宋体" w:hAnsi="宋体" w:eastAsia="宋体" w:cs="Times New Roman"/>
                <w:b w:val="0"/>
                <w:bCs w:val="0"/>
                <w:spacing w:val="10"/>
                <w:kern w:val="0"/>
                <w:sz w:val="21"/>
                <w:szCs w:val="24"/>
                <w:lang w:val="en-US" w:eastAsia="zh-CN" w:bidi="ar-SA"/>
              </w:rPr>
            </w:pP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(1)掌握建设法律法规的基本概念、体系构成、历史发展和基本原则</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(2)了解建设法律法规的适用范围和对象，熟悉建设项目的各个阶段需要遵守的法律法规</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(3)理解建设法律法规在建设工程领域的重要作用，掌握其在实际工作中的应用方法</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(1)能够运用建设法律法规对建设工程领域的实际问题进行分析和解决</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(2)能够与他人合作解决复杂的法律问题</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(3)具备较强的自主学习和终身学习的能力，不断更新自己的法律知识和能力</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rPr>
                <w:rFonts w:hint="eastAsia" w:eastAsia="宋体"/>
                <w:lang w:val="en-US" w:eastAsia="zh-CN"/>
              </w:rPr>
            </w:pPr>
            <w:r>
              <w:rPr>
                <w:rFonts w:hint="eastAsia"/>
                <w:lang w:val="en-US" w:eastAsia="zh-CN"/>
              </w:rPr>
              <w:t>2</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ind w:firstLine="0" w:firstLineChars="0"/>
              <w:jc w:val="center"/>
              <w:rPr>
                <w:rFonts w:hint="eastAsia" w:eastAsia="宋体"/>
                <w:lang w:val="en-US" w:eastAsia="zh-CN"/>
              </w:rPr>
            </w:pPr>
            <w:r>
              <w:rPr>
                <w:rFonts w:hint="eastAsia"/>
                <w:lang w:val="en-US" w:eastAsia="zh-CN"/>
              </w:rPr>
              <w:t>1</w:t>
            </w:r>
          </w:p>
        </w:tc>
      </w:tr>
      <w:tr>
        <w:tblPrEx>
          <w:tblCellMar>
            <w:top w:w="0" w:type="dxa"/>
            <w:left w:w="0" w:type="dxa"/>
            <w:bottom w:w="0" w:type="dxa"/>
            <w:right w:w="0" w:type="dxa"/>
          </w:tblCellMar>
        </w:tblPrEx>
        <w:trPr>
          <w:trHeight w:val="138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228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800"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2</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DFDFE"/>
              <w:spacing w:before="0" w:beforeAutospacing="0" w:after="0" w:afterAutospacing="0" w:line="26" w:lineRule="atLeast"/>
              <w:ind w:left="0" w:leftChars="0" w:right="0" w:firstLine="0" w:firstLineChars="0"/>
              <w:jc w:val="center"/>
              <w:rPr>
                <w:rFonts w:hint="default" w:ascii="宋体" w:hAnsi="宋体" w:eastAsia="宋体" w:cs="Times New Roman"/>
                <w:b w:val="0"/>
                <w:bCs w:val="0"/>
                <w:spacing w:val="10"/>
                <w:kern w:val="0"/>
                <w:sz w:val="21"/>
                <w:szCs w:val="24"/>
                <w:lang w:val="en-US" w:eastAsia="zh-CN" w:bidi="ar-SA"/>
              </w:rPr>
            </w:pPr>
            <w:r>
              <w:rPr>
                <w:rFonts w:hint="default" w:ascii="宋体" w:hAnsi="宋体" w:eastAsia="宋体" w:cs="Times New Roman"/>
                <w:b w:val="0"/>
                <w:bCs w:val="0"/>
                <w:spacing w:val="10"/>
                <w:kern w:val="0"/>
                <w:sz w:val="21"/>
                <w:szCs w:val="24"/>
                <w:lang w:val="en-US" w:eastAsia="zh-CN" w:bidi="ar-SA"/>
              </w:rPr>
              <w:t>建设工程项目法律管理</w:t>
            </w:r>
          </w:p>
          <w:p>
            <w:pPr>
              <w:pStyle w:val="2"/>
              <w:jc w:val="center"/>
              <w:rPr>
                <w:rFonts w:hint="eastAsia" w:ascii="宋体" w:hAnsi="宋体" w:eastAsia="宋体" w:cs="Times New Roman"/>
                <w:b w:val="0"/>
                <w:bCs w:val="0"/>
                <w:spacing w:val="10"/>
                <w:kern w:val="0"/>
                <w:sz w:val="21"/>
                <w:szCs w:val="24"/>
                <w:lang w:val="en-US" w:eastAsia="zh-CN" w:bidi="ar-SA"/>
              </w:rPr>
            </w:pP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(1)投资决策原则与流程</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(2)投资策略与</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(3)风险识别与控制</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(1)培养学生的法律意识，使其能够自觉遵守法律法规，防范法律风险</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(2)培养学生的职业道德和社会责任感</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(3)培养学生具备强烈的风险意识</w:t>
            </w: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(1)掌握建设工程相关的法律法规和制度</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(2)掌握建设工程项目管理的相关知识</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(3)掌握合同管理的基本原理和方法</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(1)能够与各方当事人进行有效沟通，协调解决各种问题</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(2)能够准确分析建设工程项目中涉及的法律问题，如合同争议、索赔纠纷、知识产权侵权</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(3)能够运用相关法律知识，为工程项目提供合法合规的解决方案</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rPr>
                <w:rFonts w:hint="eastAsia" w:eastAsia="宋体"/>
                <w:lang w:val="en-US" w:eastAsia="zh-CN"/>
              </w:rPr>
            </w:pPr>
            <w:r>
              <w:rPr>
                <w:rFonts w:hint="eastAsia"/>
                <w:lang w:val="en-US" w:eastAsia="zh-CN"/>
              </w:rPr>
              <w:t>3</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ind w:firstLine="0" w:firstLineChars="0"/>
              <w:jc w:val="center"/>
              <w:rPr>
                <w:rFonts w:hint="eastAsia" w:eastAsia="宋体"/>
                <w:lang w:val="en-US" w:eastAsia="zh-CN"/>
              </w:rPr>
            </w:pPr>
            <w:r>
              <w:rPr>
                <w:rFonts w:hint="eastAsia"/>
                <w:lang w:val="en-US" w:eastAsia="zh-CN"/>
              </w:rPr>
              <w:t>1</w:t>
            </w:r>
          </w:p>
        </w:tc>
      </w:tr>
      <w:tr>
        <w:tblPrEx>
          <w:tblCellMar>
            <w:top w:w="0" w:type="dxa"/>
            <w:left w:w="0" w:type="dxa"/>
            <w:bottom w:w="0" w:type="dxa"/>
            <w:right w:w="0" w:type="dxa"/>
          </w:tblCellMar>
        </w:tblPrEx>
        <w:trPr>
          <w:trHeight w:val="6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6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84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6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580"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3</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Times New Roman"/>
                <w:b w:val="0"/>
                <w:bCs w:val="0"/>
                <w:spacing w:val="10"/>
                <w:kern w:val="0"/>
                <w:sz w:val="21"/>
                <w:szCs w:val="24"/>
                <w:lang w:val="en-US" w:eastAsia="zh-CN" w:bidi="ar-SA"/>
              </w:rPr>
            </w:pPr>
            <w:r>
              <w:rPr>
                <w:rFonts w:hint="default" w:ascii="宋体" w:hAnsi="宋体" w:eastAsia="宋体" w:cs="Times New Roman"/>
                <w:b w:val="0"/>
                <w:bCs w:val="0"/>
                <w:spacing w:val="10"/>
                <w:kern w:val="0"/>
                <w:sz w:val="21"/>
                <w:szCs w:val="24"/>
                <w:lang w:val="en-US" w:eastAsia="zh-CN" w:bidi="ar-SA"/>
              </w:rPr>
              <w:t>建设工程质量安全法律法规</w:t>
            </w:r>
          </w:p>
          <w:p>
            <w:pPr>
              <w:pStyle w:val="2"/>
              <w:jc w:val="center"/>
              <w:rPr>
                <w:rFonts w:hint="eastAsia" w:ascii="宋体" w:hAnsi="宋体" w:eastAsia="宋体" w:cs="Times New Roman"/>
                <w:b w:val="0"/>
                <w:bCs w:val="0"/>
                <w:spacing w:val="10"/>
                <w:kern w:val="0"/>
                <w:sz w:val="21"/>
                <w:szCs w:val="24"/>
                <w:lang w:val="en-US" w:eastAsia="zh-CN" w:bidi="ar-SA"/>
              </w:rPr>
            </w:pP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(1)法律法规基础知识</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(2)安全生产责任制度</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(3)质量安全监管制度</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(4)质量安全风险评估与控制</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(1)培养学生具备高度的法律意识和法治精神，自觉遵守工程质量安全法律法规</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(2)弘扬工匠精神，注重细节，追求卓越，确保工程质量的精益求精</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(3)培养对社会和人民生命财产安全的重要性和社会责任感</w:t>
            </w: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(1)了解建设工程质量安全法律法规的基本内容和要求</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(2)掌握国家标准、行业标准、地方标准等标准体系及其应用</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(3)熟悉工程质量检测的程序和要求，了解质量监督机构的职责和权力</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(1)能够运用所学的法律知识分析工程质量安全案例，提出合理的解决方案</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(2)能够迅速有效地应对和处理事故</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(3)具备与建设单位、设计单位、施工单位、监理单位等各方进行有效沟通和协调的能力</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pPr>
            <w:r>
              <w:rPr>
                <w:rFonts w:hint="eastAsia"/>
                <w:lang w:val="en-US" w:eastAsia="zh-CN"/>
              </w:rPr>
              <w:t>3</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ind w:firstLine="0" w:firstLineChars="0"/>
              <w:jc w:val="center"/>
              <w:rPr>
                <w:rFonts w:hint="eastAsia" w:eastAsia="宋体"/>
                <w:lang w:val="en-US" w:eastAsia="zh-CN"/>
              </w:rPr>
            </w:pPr>
            <w:r>
              <w:rPr>
                <w:rFonts w:hint="eastAsia"/>
                <w:lang w:val="en-US" w:eastAsia="zh-CN"/>
              </w:rPr>
              <w:t>1</w:t>
            </w:r>
          </w:p>
        </w:tc>
      </w:tr>
      <w:tr>
        <w:tblPrEx>
          <w:tblCellMar>
            <w:top w:w="0" w:type="dxa"/>
            <w:left w:w="0" w:type="dxa"/>
            <w:bottom w:w="0" w:type="dxa"/>
            <w:right w:w="0" w:type="dxa"/>
          </w:tblCellMar>
        </w:tblPrEx>
        <w:trPr>
          <w:trHeight w:val="152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82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104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8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2720"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4</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DFDFE"/>
              <w:spacing w:before="0" w:beforeAutospacing="0" w:after="0" w:afterAutospacing="0" w:line="26" w:lineRule="atLeast"/>
              <w:ind w:left="0" w:leftChars="0" w:right="0" w:firstLine="0" w:firstLineChars="0"/>
              <w:jc w:val="center"/>
              <w:rPr>
                <w:rFonts w:hint="eastAsia" w:ascii="宋体" w:hAnsi="宋体" w:eastAsia="宋体" w:cs="Times New Roman"/>
                <w:b w:val="0"/>
                <w:bCs w:val="0"/>
                <w:spacing w:val="10"/>
                <w:kern w:val="0"/>
                <w:sz w:val="21"/>
                <w:szCs w:val="24"/>
                <w:lang w:val="en-US" w:eastAsia="zh-CN" w:bidi="ar-SA"/>
              </w:rPr>
            </w:pPr>
            <w:r>
              <w:rPr>
                <w:rFonts w:hint="default" w:ascii="宋体" w:hAnsi="宋体" w:eastAsia="宋体" w:cs="Times New Roman"/>
                <w:b w:val="0"/>
                <w:bCs w:val="0"/>
                <w:spacing w:val="10"/>
                <w:kern w:val="0"/>
                <w:sz w:val="21"/>
                <w:szCs w:val="24"/>
                <w:lang w:val="en-US" w:eastAsia="zh-CN" w:bidi="ar-SA"/>
              </w:rPr>
              <w:t>建设工程环境保护法律法规</w:t>
            </w:r>
          </w:p>
          <w:p>
            <w:pPr>
              <w:pStyle w:val="2"/>
              <w:jc w:val="center"/>
              <w:rPr>
                <w:rFonts w:hint="eastAsia"/>
              </w:rPr>
            </w:pP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(1)环境影响评价制度的重要性</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(2)环境保护原则与目标</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(3)详细介绍水、大气、噪声和固体废物环境污染防治的法律要求与措施</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(1)培养学生的环保意识，使其认识到环境保护的重要性</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(2)培养学生的社会责任感，使其认识到作为建设工程参与者的责任和义务</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(3)鼓励学生在工作中主动承担环保责任，为保护环境贡献力量</w:t>
            </w:r>
          </w:p>
          <w:p>
            <w:pPr>
              <w:pStyle w:val="2"/>
              <w:rPr>
                <w:rFonts w:hint="eastAsia" w:ascii="宋体" w:hAnsi="宋体" w:eastAsia="宋体" w:cs="Times New Roman"/>
                <w:b w:val="0"/>
                <w:bCs w:val="0"/>
                <w:spacing w:val="10"/>
                <w:kern w:val="0"/>
                <w:sz w:val="21"/>
                <w:szCs w:val="24"/>
                <w:lang w:val="en-US" w:eastAsia="zh-CN" w:bidi="ar-SA"/>
              </w:rPr>
            </w:pP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(1)掌握环境保护法律法规的基本内容和要求</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(2)了解环境保护的基本原则和制度</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(3)熟悉水、大气、噪声和固体废物污染防治的技术和方法</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(1)能够运用所学的法律知识分析建设工程中的环保问题，提出合理的解决方案</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(2)能够协助企业制定和执行环保政策和措施</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(3)能够对建设工程施工和运营过程中产生的环保问题进行识别、分析和解决</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(4)能够与政府部门、企业和社会公众进行有效的沟通和协调，推动环保工作的顺利开展</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rPr>
                <w:rFonts w:hint="eastAsia" w:eastAsia="宋体"/>
                <w:lang w:val="en-US" w:eastAsia="zh-CN"/>
              </w:rPr>
            </w:pPr>
            <w:r>
              <w:rPr>
                <w:rFonts w:hint="eastAsia"/>
                <w:lang w:val="en-US" w:eastAsia="zh-CN"/>
              </w:rPr>
              <w:t>3</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ind w:firstLine="0" w:firstLineChars="0"/>
              <w:jc w:val="center"/>
              <w:rPr>
                <w:rFonts w:hint="eastAsia" w:eastAsia="宋体"/>
                <w:lang w:val="en-US" w:eastAsia="zh-CN"/>
              </w:rPr>
            </w:pPr>
            <w:r>
              <w:rPr>
                <w:rFonts w:hint="eastAsia"/>
                <w:lang w:val="en-US" w:eastAsia="zh-CN"/>
              </w:rPr>
              <w:t>2</w:t>
            </w:r>
          </w:p>
        </w:tc>
      </w:tr>
      <w:tr>
        <w:tblPrEx>
          <w:tblCellMar>
            <w:top w:w="0" w:type="dxa"/>
            <w:left w:w="0" w:type="dxa"/>
            <w:bottom w:w="0" w:type="dxa"/>
            <w:right w:w="0" w:type="dxa"/>
          </w:tblCellMar>
        </w:tblPrEx>
        <w:trPr>
          <w:trHeight w:val="208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217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196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394"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1400"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5</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DFDFE"/>
              <w:spacing w:before="0" w:beforeAutospacing="0" w:after="0" w:afterAutospacing="0" w:line="26" w:lineRule="atLeast"/>
              <w:ind w:left="0" w:leftChars="0" w:right="0" w:firstLine="0" w:firstLineChars="0"/>
              <w:jc w:val="center"/>
              <w:rPr>
                <w:rFonts w:hint="eastAsia" w:ascii="宋体" w:hAnsi="宋体" w:eastAsia="宋体" w:cs="Times New Roman"/>
                <w:b w:val="0"/>
                <w:bCs w:val="0"/>
                <w:spacing w:val="10"/>
                <w:kern w:val="0"/>
                <w:sz w:val="21"/>
                <w:szCs w:val="24"/>
                <w:lang w:val="en-US" w:eastAsia="zh-CN" w:bidi="ar-SA"/>
              </w:rPr>
            </w:pPr>
            <w:r>
              <w:rPr>
                <w:rFonts w:hint="default" w:ascii="宋体" w:hAnsi="宋体" w:eastAsia="宋体" w:cs="Times New Roman"/>
                <w:b w:val="0"/>
                <w:bCs w:val="0"/>
                <w:spacing w:val="10"/>
                <w:kern w:val="0"/>
                <w:sz w:val="21"/>
                <w:szCs w:val="24"/>
                <w:lang w:val="en-US" w:eastAsia="zh-CN" w:bidi="ar-SA"/>
              </w:rPr>
              <w:t>建设工程规划与土地法律法规</w:t>
            </w:r>
          </w:p>
          <w:p>
            <w:pPr>
              <w:pStyle w:val="2"/>
              <w:jc w:val="center"/>
            </w:pP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eastAsia="zh-CN"/>
              </w:rPr>
            </w:pPr>
            <w:r>
              <w:rPr>
                <w:rFonts w:hint="eastAsia"/>
              </w:rPr>
              <w:t>(1)建设工程规划与土地法律法规的基本框架，包括《城乡规划法》、《土地管理法》等核心法律</w:t>
            </w:r>
          </w:p>
          <w:p>
            <w:pPr>
              <w:pStyle w:val="2"/>
              <w:rPr>
                <w:rFonts w:hint="eastAsia"/>
                <w:lang w:eastAsia="zh-CN"/>
              </w:rPr>
            </w:pPr>
            <w:r>
              <w:rPr>
                <w:rFonts w:hint="eastAsia"/>
              </w:rPr>
              <w:t>(2)介绍规划许可的申请流程、审批标准和条件</w:t>
            </w:r>
          </w:p>
          <w:p>
            <w:pPr>
              <w:pStyle w:val="2"/>
              <w:rPr>
                <w:rFonts w:hint="eastAsia"/>
              </w:rPr>
            </w:pPr>
            <w:r>
              <w:rPr>
                <w:rFonts w:hint="eastAsia"/>
              </w:rPr>
              <w:t>(3)土地征收的条件、程序以及被征收人的权益保护</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eastAsia="zh-CN"/>
              </w:rPr>
            </w:pPr>
            <w:r>
              <w:rPr>
                <w:rFonts w:hint="eastAsia"/>
              </w:rPr>
              <w:t>(1)培养学生的法律意识，使其认识到规划与土地法律法规的严肃性和重要性</w:t>
            </w:r>
          </w:p>
          <w:p>
            <w:pPr>
              <w:pStyle w:val="2"/>
              <w:rPr>
                <w:rFonts w:hint="eastAsia"/>
                <w:lang w:eastAsia="zh-CN"/>
              </w:rPr>
            </w:pPr>
            <w:r>
              <w:rPr>
                <w:rFonts w:hint="eastAsia"/>
              </w:rPr>
              <w:t>(2)培养学生吃苦精神</w:t>
            </w:r>
          </w:p>
          <w:p>
            <w:pPr>
              <w:pStyle w:val="2"/>
              <w:rPr>
                <w:rFonts w:hint="eastAsia"/>
                <w:lang w:eastAsia="zh-CN"/>
              </w:rPr>
            </w:pPr>
            <w:r>
              <w:rPr>
                <w:rFonts w:hint="eastAsia"/>
              </w:rPr>
              <w:t>(3)培养学生的责任意识，使其认识到作为建设工程项目参与者对规划与土地管理的责任</w:t>
            </w:r>
          </w:p>
          <w:p>
            <w:pPr>
              <w:pStyle w:val="2"/>
              <w:rPr>
                <w:rFonts w:hint="eastAsia"/>
              </w:rPr>
            </w:pP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eastAsia="zh-CN"/>
              </w:rPr>
            </w:pPr>
            <w:r>
              <w:rPr>
                <w:rFonts w:hint="eastAsia"/>
              </w:rPr>
              <w:t>(1)掌握建设工程规划与土地法律法规的基本内容和要求</w:t>
            </w:r>
          </w:p>
          <w:p>
            <w:pPr>
              <w:pStyle w:val="2"/>
              <w:rPr>
                <w:rFonts w:hint="eastAsia"/>
                <w:lang w:eastAsia="zh-CN"/>
              </w:rPr>
            </w:pPr>
            <w:r>
              <w:rPr>
                <w:rFonts w:hint="eastAsia"/>
              </w:rPr>
              <w:t>(2)了解规划与土地管理的基本原则和制度</w:t>
            </w:r>
          </w:p>
          <w:p>
            <w:pPr>
              <w:pStyle w:val="2"/>
              <w:rPr>
                <w:rFonts w:hint="eastAsia"/>
              </w:rPr>
            </w:pPr>
            <w:r>
              <w:rPr>
                <w:rFonts w:hint="eastAsia"/>
              </w:rPr>
              <w:t>(3)熟悉规划许可的申请流程、审批标准和条件</w:t>
            </w:r>
          </w:p>
          <w:p>
            <w:pPr>
              <w:pStyle w:val="2"/>
              <w:rPr>
                <w:rFonts w:hint="eastAsia"/>
              </w:rPr>
            </w:pPr>
            <w:r>
              <w:rPr>
                <w:rFonts w:hint="eastAsia"/>
              </w:rPr>
              <w:t>(</w:t>
            </w:r>
            <w:r>
              <w:rPr>
                <w:rFonts w:hint="eastAsia"/>
                <w:lang w:val="en-US" w:eastAsia="zh-CN"/>
              </w:rPr>
              <w:t>4</w:t>
            </w:r>
            <w:r>
              <w:rPr>
                <w:rFonts w:hint="eastAsia"/>
              </w:rPr>
              <w:t>)了解土地征收的条件、程序以及被征收人的权益保护</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rPr>
            </w:pPr>
            <w:r>
              <w:rPr>
                <w:rFonts w:hint="eastAsia"/>
              </w:rPr>
              <w:t>(1)能够运用所学的法律知识分析建设工程规划与土地管理中的问题，提出合理的解决方案</w:t>
            </w:r>
          </w:p>
          <w:p>
            <w:pPr>
              <w:pStyle w:val="2"/>
              <w:rPr>
                <w:rFonts w:hint="eastAsia"/>
                <w:lang w:eastAsia="zh-CN"/>
              </w:rPr>
            </w:pPr>
            <w:r>
              <w:rPr>
                <w:rFonts w:hint="eastAsia"/>
              </w:rPr>
              <w:t>(2)能够对建设工程规划与土地管理中出现的问题进行识别、分析和解决</w:t>
            </w:r>
          </w:p>
          <w:p>
            <w:pPr>
              <w:pStyle w:val="2"/>
              <w:rPr>
                <w:rFonts w:hint="eastAsia"/>
              </w:rPr>
            </w:pPr>
            <w:r>
              <w:rPr>
                <w:rFonts w:hint="eastAsia"/>
              </w:rPr>
              <w:t>(3)能够与政府部门、企业和社会公众进行有效的沟通和协调，推动规划与土地管理工作的顺利开展</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rPr>
                <w:rFonts w:hint="eastAsia" w:eastAsia="宋体"/>
                <w:lang w:val="en-US" w:eastAsia="zh-CN"/>
              </w:rPr>
            </w:pPr>
            <w:r>
              <w:rPr>
                <w:rFonts w:hint="eastAsia"/>
                <w:lang w:val="en-US" w:eastAsia="zh-CN"/>
              </w:rPr>
              <w:t>3</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ind w:firstLine="0" w:firstLineChars="0"/>
              <w:jc w:val="center"/>
              <w:rPr>
                <w:rFonts w:hint="eastAsia" w:eastAsia="宋体"/>
                <w:lang w:val="en-US" w:eastAsia="zh-CN"/>
              </w:rPr>
            </w:pPr>
            <w:r>
              <w:rPr>
                <w:rFonts w:hint="eastAsia"/>
                <w:lang w:val="en-US" w:eastAsia="zh-CN"/>
              </w:rPr>
              <w:t>2</w:t>
            </w:r>
          </w:p>
        </w:tc>
      </w:tr>
      <w:tr>
        <w:tblPrEx>
          <w:tblCellMar>
            <w:top w:w="0" w:type="dxa"/>
            <w:left w:w="0" w:type="dxa"/>
            <w:bottom w:w="0" w:type="dxa"/>
            <w:right w:w="0" w:type="dxa"/>
          </w:tblCellMar>
        </w:tblPrEx>
        <w:trPr>
          <w:trHeight w:val="14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14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14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14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14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394"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6</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DFDFE"/>
              <w:spacing w:before="0" w:beforeAutospacing="0" w:after="0" w:afterAutospacing="0" w:line="26" w:lineRule="atLeast"/>
              <w:ind w:left="0" w:leftChars="0" w:right="0" w:firstLine="0" w:firstLineChars="0"/>
              <w:jc w:val="center"/>
              <w:rPr>
                <w:rFonts w:hint="eastAsia" w:ascii="宋体" w:hAnsi="宋体" w:eastAsia="宋体" w:cs="Times New Roman"/>
                <w:b w:val="0"/>
                <w:bCs w:val="0"/>
                <w:spacing w:val="10"/>
                <w:kern w:val="0"/>
                <w:sz w:val="21"/>
                <w:szCs w:val="24"/>
                <w:lang w:val="en-US" w:eastAsia="zh-CN" w:bidi="ar-SA"/>
              </w:rPr>
            </w:pPr>
            <w:r>
              <w:rPr>
                <w:rFonts w:hint="default" w:ascii="宋体" w:hAnsi="宋体" w:eastAsia="宋体" w:cs="Times New Roman"/>
                <w:b w:val="0"/>
                <w:bCs w:val="0"/>
                <w:spacing w:val="10"/>
                <w:kern w:val="0"/>
                <w:sz w:val="21"/>
                <w:szCs w:val="24"/>
                <w:lang w:val="en-US" w:eastAsia="zh-CN" w:bidi="ar-SA"/>
              </w:rPr>
              <w:t>建设工程造价与财务管理法律法规</w:t>
            </w:r>
          </w:p>
          <w:p>
            <w:pPr>
              <w:pStyle w:val="2"/>
              <w:rPr>
                <w:rFonts w:hint="eastAsia"/>
              </w:rPr>
            </w:pP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eastAsia="zh-CN"/>
              </w:rPr>
            </w:pPr>
            <w:r>
              <w:rPr>
                <w:rFonts w:hint="eastAsia"/>
              </w:rPr>
              <w:t>(1)建设工程造价与财务管理法律法规的基本框架</w:t>
            </w:r>
          </w:p>
          <w:p>
            <w:pPr>
              <w:pStyle w:val="2"/>
              <w:rPr>
                <w:rFonts w:hint="eastAsia"/>
              </w:rPr>
            </w:pPr>
            <w:r>
              <w:rPr>
                <w:rFonts w:hint="eastAsia"/>
              </w:rPr>
              <w:t>(2)强调工程造价师在工程造价管理中的职责和遵循的原则</w:t>
            </w:r>
          </w:p>
          <w:p>
            <w:pPr>
              <w:pStyle w:val="2"/>
              <w:rPr>
                <w:rFonts w:hint="eastAsia"/>
              </w:rPr>
            </w:pPr>
            <w:r>
              <w:rPr>
                <w:rFonts w:hint="eastAsia"/>
              </w:rPr>
              <w:t>(3)财务管理在工程项目中的重要性</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rPr>
            </w:pPr>
            <w:r>
              <w:rPr>
                <w:rFonts w:hint="eastAsia"/>
              </w:rPr>
              <w:t>(1)培养学生的法律意识和职业道德，使其能够自觉遵守法律法规，维护社会公共利益和他人合法权益</w:t>
            </w:r>
          </w:p>
          <w:p>
            <w:pPr>
              <w:pStyle w:val="2"/>
              <w:rPr>
                <w:rFonts w:hint="eastAsia"/>
                <w:lang w:eastAsia="zh-CN"/>
              </w:rPr>
            </w:pPr>
            <w:r>
              <w:rPr>
                <w:rFonts w:hint="eastAsia"/>
              </w:rPr>
              <w:t>(</w:t>
            </w:r>
            <w:r>
              <w:rPr>
                <w:rFonts w:hint="eastAsia"/>
                <w:lang w:val="en-US" w:eastAsia="zh-CN"/>
              </w:rPr>
              <w:t>2</w:t>
            </w:r>
            <w:r>
              <w:rPr>
                <w:rFonts w:hint="eastAsia"/>
              </w:rPr>
              <w:t>)培养学生的责任感和敬业精神，使其能够认真对待工程造价与财务管理工作，为项目的顺利进行贡献自己的力量</w:t>
            </w:r>
          </w:p>
          <w:p>
            <w:pPr>
              <w:pStyle w:val="2"/>
              <w:rPr>
                <w:rFonts w:hint="eastAsia"/>
              </w:rPr>
            </w:pPr>
          </w:p>
          <w:p>
            <w:pPr>
              <w:pStyle w:val="2"/>
              <w:rPr>
                <w:rFonts w:hint="eastAsia"/>
              </w:rPr>
            </w:pP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eastAsia="zh-CN"/>
              </w:rPr>
            </w:pPr>
            <w:r>
              <w:rPr>
                <w:rFonts w:hint="eastAsia"/>
              </w:rPr>
              <w:t>(1)掌握建设工程造价与财务管理法律法规的基本内容和要求，了解相关法律法规的适用范围和具体规定</w:t>
            </w:r>
          </w:p>
          <w:p>
            <w:pPr>
              <w:pStyle w:val="2"/>
              <w:rPr>
                <w:rFonts w:hint="eastAsia"/>
                <w:lang w:eastAsia="zh-CN"/>
              </w:rPr>
            </w:pPr>
            <w:r>
              <w:rPr>
                <w:rFonts w:hint="eastAsia"/>
              </w:rPr>
              <w:t>(2)熟悉工程造价的确定与控制方法，了解财务管理在工程项目中的具体应用</w:t>
            </w:r>
          </w:p>
          <w:p>
            <w:pPr>
              <w:pStyle w:val="2"/>
              <w:rPr>
                <w:rFonts w:hint="eastAsia"/>
              </w:rPr>
            </w:pPr>
            <w:r>
              <w:rPr>
                <w:rFonts w:hint="eastAsia"/>
              </w:rPr>
              <w:t>(3)了解合同法在工程造价与财务管理中的应用，掌握合同订立、履行和争议解决等方面的基本知识</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eastAsia="zh-CN"/>
              </w:rPr>
            </w:pPr>
            <w:r>
              <w:rPr>
                <w:rFonts w:hint="eastAsia"/>
              </w:rPr>
              <w:t>(1)能够运用所学的法律知识分析解决工程造价与财务管理中的实际问题，提出合理的解决方案</w:t>
            </w:r>
          </w:p>
          <w:p>
            <w:pPr>
              <w:pStyle w:val="2"/>
              <w:rPr>
                <w:rFonts w:hint="eastAsia"/>
              </w:rPr>
            </w:pPr>
            <w:r>
              <w:rPr>
                <w:rFonts w:hint="eastAsia"/>
              </w:rPr>
              <w:t>(2)能够熟练掌握财务管理的基本技能和方法</w:t>
            </w:r>
          </w:p>
          <w:p>
            <w:pPr>
              <w:pStyle w:val="2"/>
              <w:rPr>
                <w:rFonts w:hint="eastAsia"/>
              </w:rPr>
            </w:pPr>
            <w:r>
              <w:rPr>
                <w:rFonts w:hint="eastAsia"/>
              </w:rPr>
              <w:t>(</w:t>
            </w:r>
            <w:r>
              <w:rPr>
                <w:rFonts w:hint="eastAsia"/>
                <w:lang w:val="en-US" w:eastAsia="zh-CN"/>
              </w:rPr>
              <w:t>3</w:t>
            </w:r>
            <w:r>
              <w:rPr>
                <w:rFonts w:hint="eastAsia"/>
              </w:rPr>
              <w:t>)能够不断学习和掌握新的法律法规和管理理念，提高自身的专业素养和综合能力</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rPr>
                <w:rFonts w:hint="eastAsia" w:eastAsia="宋体"/>
                <w:lang w:val="en-US" w:eastAsia="zh-CN"/>
              </w:rPr>
            </w:pPr>
            <w:r>
              <w:rPr>
                <w:rFonts w:hint="eastAsia"/>
                <w:lang w:val="en-US" w:eastAsia="zh-CN"/>
              </w:rPr>
              <w:t>3</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ind w:firstLine="0" w:firstLineChars="0"/>
              <w:jc w:val="center"/>
              <w:rPr>
                <w:rFonts w:hint="eastAsia" w:eastAsia="宋体"/>
                <w:lang w:val="en-US" w:eastAsia="zh-CN"/>
              </w:rPr>
            </w:pPr>
            <w:r>
              <w:rPr>
                <w:rFonts w:hint="eastAsia"/>
                <w:lang w:val="en-US" w:eastAsia="zh-CN"/>
              </w:rPr>
              <w:t>2</w:t>
            </w:r>
          </w:p>
        </w:tc>
      </w:tr>
      <w:tr>
        <w:tblPrEx>
          <w:tblCellMar>
            <w:top w:w="0" w:type="dxa"/>
            <w:left w:w="0" w:type="dxa"/>
            <w:bottom w:w="0" w:type="dxa"/>
            <w:right w:w="0" w:type="dxa"/>
          </w:tblCellMar>
        </w:tblPrEx>
        <w:trPr>
          <w:trHeight w:val="394"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3050" w:hRule="atLeast"/>
        </w:trPr>
        <w:tc>
          <w:tcPr>
            <w:tcW w:w="459"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7</w:t>
            </w:r>
          </w:p>
        </w:tc>
        <w:tc>
          <w:tcPr>
            <w:tcW w:w="115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DFDFE"/>
              <w:spacing w:before="0" w:beforeAutospacing="0" w:after="0" w:afterAutospacing="0" w:line="26" w:lineRule="atLeast"/>
              <w:ind w:left="0" w:leftChars="0" w:right="0" w:firstLine="0" w:firstLineChars="0"/>
              <w:jc w:val="center"/>
              <w:rPr>
                <w:rFonts w:hint="eastAsia" w:ascii="宋体" w:hAnsi="宋体" w:eastAsia="宋体" w:cs="Times New Roman"/>
                <w:b w:val="0"/>
                <w:bCs w:val="0"/>
                <w:spacing w:val="10"/>
                <w:kern w:val="0"/>
                <w:sz w:val="21"/>
                <w:szCs w:val="24"/>
                <w:lang w:val="en-US" w:eastAsia="zh-CN" w:bidi="ar-SA"/>
              </w:rPr>
            </w:pPr>
            <w:r>
              <w:rPr>
                <w:rFonts w:hint="default" w:ascii="宋体" w:hAnsi="宋体" w:eastAsia="宋体" w:cs="Times New Roman"/>
                <w:b w:val="0"/>
                <w:bCs w:val="0"/>
                <w:spacing w:val="10"/>
                <w:kern w:val="0"/>
                <w:sz w:val="21"/>
                <w:szCs w:val="24"/>
                <w:lang w:val="en-US" w:eastAsia="zh-CN" w:bidi="ar-SA"/>
              </w:rPr>
              <w:t>建设工程法律纠纷处理与解决</w:t>
            </w:r>
          </w:p>
          <w:p>
            <w:pPr>
              <w:pStyle w:val="2"/>
              <w:jc w:val="center"/>
              <w:rPr>
                <w:rFonts w:hint="eastAsia"/>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eastAsia="zh-CN"/>
              </w:rPr>
            </w:pPr>
            <w:r>
              <w:rPr>
                <w:rFonts w:hint="eastAsia"/>
              </w:rPr>
              <w:t>(1)法律纠纷种类与特点</w:t>
            </w:r>
          </w:p>
          <w:p>
            <w:pPr>
              <w:pStyle w:val="2"/>
              <w:rPr>
                <w:rFonts w:hint="eastAsia"/>
              </w:rPr>
            </w:pPr>
            <w:r>
              <w:rPr>
                <w:rFonts w:hint="eastAsia"/>
              </w:rPr>
              <w:t>(2)建设工程法律纠纷产生的主要原因</w:t>
            </w:r>
          </w:p>
          <w:p>
            <w:pPr>
              <w:pStyle w:val="2"/>
              <w:rPr>
                <w:rFonts w:hint="eastAsia"/>
              </w:rPr>
            </w:pPr>
            <w:r>
              <w:rPr>
                <w:rFonts w:hint="eastAsia"/>
                <w:lang w:val="en-US" w:eastAsia="zh-CN"/>
              </w:rPr>
              <w:t>(3)</w:t>
            </w:r>
            <w:r>
              <w:rPr>
                <w:rFonts w:hint="eastAsia"/>
              </w:rPr>
              <w:t>民事纠纷的法律解决途径，包括和解、调解、仲裁、诉讼</w:t>
            </w:r>
          </w:p>
        </w:tc>
        <w:tc>
          <w:tcPr>
            <w:tcW w:w="15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rPr>
            </w:pPr>
            <w:r>
              <w:rPr>
                <w:rFonts w:hint="eastAsia"/>
              </w:rPr>
              <w:t>(1)培养学生的法律意识，使其认识到建设工程法律纠纷处理与解决的重要性和严肃性</w:t>
            </w:r>
          </w:p>
          <w:p>
            <w:pPr>
              <w:pStyle w:val="2"/>
              <w:rPr>
                <w:rFonts w:hint="eastAsia"/>
              </w:rPr>
            </w:pPr>
            <w:r>
              <w:rPr>
                <w:rFonts w:hint="eastAsia"/>
              </w:rPr>
              <w:t>(2)培养学生的责任感和敬业精神，使其能够认真对待建设工程法律纠纷，积极寻求合理解决方案</w:t>
            </w:r>
          </w:p>
        </w:tc>
        <w:tc>
          <w:tcPr>
            <w:tcW w:w="161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eastAsia="zh-CN"/>
              </w:rPr>
            </w:pPr>
            <w:r>
              <w:rPr>
                <w:rFonts w:hint="eastAsia"/>
              </w:rPr>
              <w:t>(1)掌握建设工程法律纠纷处理与解决所需的基本法律知识</w:t>
            </w:r>
          </w:p>
          <w:p>
            <w:pPr>
              <w:pStyle w:val="2"/>
              <w:rPr>
                <w:rFonts w:hint="eastAsia"/>
                <w:lang w:eastAsia="zh-CN"/>
              </w:rPr>
            </w:pPr>
            <w:r>
              <w:rPr>
                <w:rFonts w:hint="eastAsia"/>
              </w:rPr>
              <w:t>(2)熟悉建设工程法律纠纷的处理流程，包括立案、调查、调解、仲裁、诉讼等各个环节</w:t>
            </w:r>
          </w:p>
          <w:p>
            <w:pPr>
              <w:pStyle w:val="2"/>
              <w:rPr>
                <w:rFonts w:hint="eastAsia"/>
              </w:rPr>
            </w:pPr>
            <w:r>
              <w:rPr>
                <w:rFonts w:hint="eastAsia"/>
              </w:rPr>
              <w:t>(3)了解证据在建设工程法律纠纷处理中的重要性，掌握证据的收集、保全和应用规则</w:t>
            </w:r>
          </w:p>
        </w:tc>
        <w:tc>
          <w:tcPr>
            <w:tcW w:w="15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eastAsia="zh-CN"/>
              </w:rPr>
            </w:pPr>
            <w:r>
              <w:rPr>
                <w:rFonts w:hint="eastAsia"/>
              </w:rPr>
              <w:t>(1)能够与各方当事人进行有效的沟通，促进纠纷的和平解决</w:t>
            </w:r>
          </w:p>
          <w:p>
            <w:pPr>
              <w:pStyle w:val="2"/>
              <w:rPr>
                <w:rFonts w:hint="eastAsia"/>
              </w:rPr>
            </w:pPr>
            <w:r>
              <w:rPr>
                <w:rFonts w:hint="eastAsia"/>
              </w:rPr>
              <w:t>(2)能够将法律知识应用于实际纠纷</w:t>
            </w: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pPr>
            <w:r>
              <w:rPr>
                <w:rFonts w:hint="eastAsia"/>
              </w:rPr>
              <w:t>3</w:t>
            </w:r>
          </w:p>
        </w:tc>
        <w:tc>
          <w:tcPr>
            <w:tcW w:w="554"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ind w:firstLine="0" w:firstLineChars="0"/>
              <w:jc w:val="center"/>
              <w:rPr>
                <w:rFonts w:hint="eastAsia" w:eastAsia="宋体"/>
                <w:lang w:val="en-US" w:eastAsia="zh-CN"/>
              </w:rPr>
            </w:pPr>
            <w:r>
              <w:rPr>
                <w:rFonts w:hint="eastAsia"/>
                <w:lang w:val="en-US" w:eastAsia="zh-CN"/>
              </w:rPr>
              <w:t>1</w:t>
            </w:r>
          </w:p>
        </w:tc>
      </w:tr>
      <w:tr>
        <w:tblPrEx>
          <w:tblCellMar>
            <w:top w:w="0" w:type="dxa"/>
            <w:left w:w="0" w:type="dxa"/>
            <w:bottom w:w="0" w:type="dxa"/>
            <w:right w:w="0" w:type="dxa"/>
          </w:tblCellMar>
        </w:tblPrEx>
        <w:trPr>
          <w:trHeight w:val="3120" w:hRule="atLeast"/>
        </w:trPr>
        <w:tc>
          <w:tcPr>
            <w:tcW w:w="459"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8</w:t>
            </w:r>
          </w:p>
        </w:tc>
        <w:tc>
          <w:tcPr>
            <w:tcW w:w="115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DFDFE"/>
              <w:spacing w:before="0" w:beforeAutospacing="0" w:after="0" w:afterAutospacing="0" w:line="26" w:lineRule="atLeast"/>
              <w:ind w:left="0" w:leftChars="0" w:right="0" w:firstLine="0" w:firstLineChars="0"/>
              <w:jc w:val="center"/>
              <w:rPr>
                <w:rFonts w:hint="eastAsia" w:ascii="宋体" w:hAnsi="宋体" w:eastAsia="宋体" w:cs="Times New Roman"/>
                <w:b w:val="0"/>
                <w:bCs w:val="0"/>
                <w:spacing w:val="10"/>
                <w:kern w:val="0"/>
                <w:sz w:val="21"/>
                <w:szCs w:val="24"/>
                <w:lang w:val="en-US" w:eastAsia="zh-CN" w:bidi="ar-SA"/>
              </w:rPr>
            </w:pPr>
            <w:r>
              <w:rPr>
                <w:rFonts w:hint="default" w:ascii="宋体" w:hAnsi="宋体" w:eastAsia="宋体" w:cs="Times New Roman"/>
                <w:b w:val="0"/>
                <w:bCs w:val="0"/>
                <w:spacing w:val="10"/>
                <w:kern w:val="0"/>
                <w:sz w:val="21"/>
                <w:szCs w:val="24"/>
                <w:lang w:val="en-US" w:eastAsia="zh-CN" w:bidi="ar-SA"/>
              </w:rPr>
              <w:t>建设工程国际法律法规</w:t>
            </w:r>
          </w:p>
          <w:p>
            <w:pPr>
              <w:pStyle w:val="2"/>
              <w:jc w:val="center"/>
              <w:rPr>
                <w:rFonts w:hint="eastAsia"/>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eastAsia="zh-CN"/>
              </w:rPr>
            </w:pPr>
            <w:r>
              <w:rPr>
                <w:rFonts w:hint="eastAsia"/>
              </w:rPr>
              <w:t>(1)国际法律法规在建设工程领域的重要性</w:t>
            </w:r>
          </w:p>
          <w:p>
            <w:pPr>
              <w:pStyle w:val="2"/>
              <w:rPr>
                <w:rFonts w:hint="eastAsia"/>
              </w:rPr>
            </w:pPr>
            <w:r>
              <w:rPr>
                <w:rFonts w:hint="eastAsia"/>
              </w:rPr>
              <w:t>(2)国际建设工程法律的主要体系和框架</w:t>
            </w:r>
          </w:p>
          <w:p>
            <w:pPr>
              <w:pStyle w:val="2"/>
              <w:rPr>
                <w:rFonts w:hint="eastAsia"/>
              </w:rPr>
            </w:pPr>
            <w:r>
              <w:rPr>
                <w:rFonts w:hint="eastAsia"/>
              </w:rPr>
              <w:t>(3)分析跨国建设项目中可能面临的法律风险，如政治风险、经济风险、文化风险等</w:t>
            </w:r>
          </w:p>
        </w:tc>
        <w:tc>
          <w:tcPr>
            <w:tcW w:w="15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eastAsia="zh-CN"/>
              </w:rPr>
            </w:pPr>
            <w:r>
              <w:rPr>
                <w:rFonts w:hint="eastAsia"/>
              </w:rPr>
              <w:t>(1)培养学生具备国际化的视野和思维方式</w:t>
            </w:r>
          </w:p>
          <w:p>
            <w:pPr>
              <w:pStyle w:val="2"/>
              <w:rPr>
                <w:rFonts w:hint="eastAsia"/>
              </w:rPr>
            </w:pPr>
            <w:r>
              <w:rPr>
                <w:rFonts w:hint="eastAsia"/>
              </w:rPr>
              <w:t>(2)培养学生具备强烈的风险意识</w:t>
            </w:r>
          </w:p>
          <w:p>
            <w:pPr>
              <w:pStyle w:val="2"/>
              <w:rPr>
                <w:rFonts w:hint="eastAsia"/>
              </w:rPr>
            </w:pPr>
            <w:r>
              <w:rPr>
                <w:rFonts w:hint="eastAsia"/>
              </w:rPr>
              <w:t>(3)培养学生具备高度的法律职业道德素养</w:t>
            </w:r>
          </w:p>
        </w:tc>
        <w:tc>
          <w:tcPr>
            <w:tcW w:w="161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eastAsia="zh-CN"/>
              </w:rPr>
            </w:pPr>
            <w:r>
              <w:rPr>
                <w:rFonts w:hint="eastAsia"/>
              </w:rPr>
              <w:t>(1)掌握国际建设工程法律法规的基本概念、原则和制度</w:t>
            </w:r>
          </w:p>
          <w:p>
            <w:pPr>
              <w:pStyle w:val="2"/>
              <w:rPr>
                <w:rFonts w:hint="eastAsia"/>
                <w:lang w:eastAsia="zh-CN"/>
              </w:rPr>
            </w:pPr>
            <w:r>
              <w:rPr>
                <w:rFonts w:hint="eastAsia"/>
              </w:rPr>
              <w:t>(2)熟悉国际建设合同的基本内容、条款和签订程序</w:t>
            </w:r>
          </w:p>
          <w:p>
            <w:pPr>
              <w:pStyle w:val="2"/>
              <w:rPr>
                <w:rFonts w:hint="eastAsia"/>
              </w:rPr>
            </w:pPr>
            <w:r>
              <w:rPr>
                <w:rFonts w:hint="eastAsia"/>
              </w:rPr>
              <w:t>(3)了解国际争端解决的主要方式和程序，以及国际仲裁和国际诉讼的基本规则</w:t>
            </w:r>
          </w:p>
        </w:tc>
        <w:tc>
          <w:tcPr>
            <w:tcW w:w="15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eastAsia="zh-CN"/>
              </w:rPr>
            </w:pPr>
            <w:r>
              <w:rPr>
                <w:rFonts w:hint="eastAsia"/>
              </w:rPr>
              <w:t>(1)能够理解和适应国际建设工程的法律环境</w:t>
            </w:r>
          </w:p>
          <w:p>
            <w:pPr>
              <w:pStyle w:val="2"/>
              <w:rPr>
                <w:rFonts w:hint="eastAsia"/>
              </w:rPr>
            </w:pPr>
            <w:r>
              <w:rPr>
                <w:rFonts w:hint="eastAsia"/>
              </w:rPr>
              <w:t>(2)具备对国际建设工程法律问题进行深入分析和研究的能力</w:t>
            </w:r>
          </w:p>
          <w:p>
            <w:pPr>
              <w:pStyle w:val="2"/>
              <w:rPr>
                <w:rFonts w:hint="eastAsia"/>
              </w:rPr>
            </w:pPr>
            <w:r>
              <w:rPr>
                <w:rFonts w:hint="eastAsia"/>
              </w:rPr>
              <w:t>(</w:t>
            </w:r>
            <w:r>
              <w:rPr>
                <w:rFonts w:hint="eastAsia"/>
                <w:lang w:val="en-US" w:eastAsia="zh-CN"/>
              </w:rPr>
              <w:t>3</w:t>
            </w:r>
            <w:r>
              <w:rPr>
                <w:rFonts w:hint="eastAsia"/>
              </w:rPr>
              <w:t>)具备独立进行国际建设工程法律研究的能力，包括文献检索、案例分析等</w:t>
            </w: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rPr>
                <w:rFonts w:hint="eastAsia" w:eastAsia="宋体"/>
                <w:lang w:val="en-US" w:eastAsia="zh-CN"/>
              </w:rPr>
            </w:pPr>
            <w:r>
              <w:rPr>
                <w:rFonts w:hint="eastAsia"/>
                <w:lang w:val="en-US" w:eastAsia="zh-CN"/>
              </w:rPr>
              <w:t>2</w:t>
            </w:r>
          </w:p>
        </w:tc>
        <w:tc>
          <w:tcPr>
            <w:tcW w:w="554"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ind w:firstLine="0" w:firstLineChars="0"/>
              <w:jc w:val="center"/>
              <w:rPr>
                <w:rFonts w:hint="eastAsia" w:eastAsia="宋体"/>
                <w:lang w:val="en-US" w:eastAsia="zh-CN"/>
              </w:rPr>
            </w:pPr>
            <w:r>
              <w:rPr>
                <w:rFonts w:hint="eastAsia"/>
                <w:lang w:val="en-US" w:eastAsia="zh-CN"/>
              </w:rPr>
              <w:t>1</w:t>
            </w:r>
          </w:p>
        </w:tc>
      </w:tr>
      <w:tr>
        <w:tblPrEx>
          <w:tblCellMar>
            <w:top w:w="0" w:type="dxa"/>
            <w:left w:w="0" w:type="dxa"/>
            <w:bottom w:w="0" w:type="dxa"/>
            <w:right w:w="0" w:type="dxa"/>
          </w:tblCellMar>
        </w:tblPrEx>
        <w:trPr>
          <w:trHeight w:val="394"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9</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DFDFE"/>
              <w:spacing w:before="0" w:beforeAutospacing="0" w:after="0" w:afterAutospacing="0" w:line="26" w:lineRule="atLeast"/>
              <w:ind w:left="0" w:leftChars="0" w:right="0" w:firstLine="0" w:firstLineChars="0"/>
              <w:jc w:val="center"/>
              <w:rPr>
                <w:rFonts w:hint="eastAsia" w:ascii="宋体" w:hAnsi="宋体" w:eastAsia="宋体" w:cs="Times New Roman"/>
                <w:b w:val="0"/>
                <w:bCs w:val="0"/>
                <w:spacing w:val="10"/>
                <w:kern w:val="0"/>
                <w:sz w:val="21"/>
                <w:szCs w:val="24"/>
                <w:lang w:val="en-US" w:eastAsia="zh-CN" w:bidi="ar-SA"/>
              </w:rPr>
            </w:pPr>
            <w:r>
              <w:rPr>
                <w:rFonts w:hint="default" w:ascii="宋体" w:hAnsi="宋体" w:eastAsia="宋体" w:cs="Times New Roman"/>
                <w:b w:val="0"/>
                <w:bCs w:val="0"/>
                <w:spacing w:val="10"/>
                <w:kern w:val="0"/>
                <w:sz w:val="21"/>
                <w:szCs w:val="24"/>
                <w:lang w:val="en-US" w:eastAsia="zh-CN" w:bidi="ar-SA"/>
              </w:rPr>
              <w:t>建设法律法规的遵守与监管</w:t>
            </w:r>
          </w:p>
          <w:p>
            <w:pPr>
              <w:pStyle w:val="2"/>
              <w:jc w:val="both"/>
              <w:rPr>
                <w:rFonts w:hint="eastAsia" w:ascii="宋体" w:hAnsi="宋体" w:eastAsia="宋体" w:cs="Times New Roman"/>
                <w:b w:val="0"/>
                <w:bCs w:val="0"/>
                <w:spacing w:val="10"/>
                <w:kern w:val="0"/>
                <w:sz w:val="21"/>
                <w:szCs w:val="24"/>
                <w:lang w:val="en-US" w:eastAsia="zh-CN" w:bidi="ar-SA"/>
              </w:rPr>
            </w:pP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(1)国家及国际层面的建设法律法规体系</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(2)遵守法律法规的重要性</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(3)法律法规的遵守与执行</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(4)监管机制与监管职责</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(1)培养学生的法律意识，尊重和维护法律的权威性</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(2)培养学生诚实守信、公正廉洁的品质</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(3)培养学生的国际视野以及发展趋势和国际标准</w:t>
            </w: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(1)掌握国家及国际层面的建设法律法规体系</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(2)熟悉主要的建设法律法规条款和规定</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(3)了解建设工程项目中各环节如何遵守和执行法律法规</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(4)掌握法律法规遵守与执行的流程和标准</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(1)能够在实际工作中自觉遵守和执行建设法律法规</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(2)具备对建设工程进行监管的能力，包括检查、评估、指导等</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(3)能够运用所学知识分析和解决建设工程中的法律问题</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rPr>
                <w:rFonts w:hint="default" w:eastAsia="宋体"/>
                <w:lang w:val="en-US" w:eastAsia="zh-CN"/>
              </w:rPr>
            </w:pPr>
            <w:r>
              <w:rPr>
                <w:rFonts w:hint="eastAsia"/>
                <w:lang w:val="en-US" w:eastAsia="zh-CN"/>
              </w:rPr>
              <w:t>2</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ind w:firstLine="0" w:firstLineChars="0"/>
              <w:jc w:val="center"/>
              <w:rPr>
                <w:rFonts w:hint="eastAsia" w:eastAsia="宋体"/>
                <w:lang w:val="en-US" w:eastAsia="zh-CN"/>
              </w:rPr>
            </w:pPr>
            <w:r>
              <w:rPr>
                <w:rFonts w:hint="eastAsia"/>
                <w:lang w:val="en-US" w:eastAsia="zh-CN"/>
              </w:rPr>
              <w:t>1</w:t>
            </w:r>
          </w:p>
        </w:tc>
      </w:tr>
      <w:tr>
        <w:tblPrEx>
          <w:tblCellMar>
            <w:top w:w="0" w:type="dxa"/>
            <w:left w:w="0" w:type="dxa"/>
            <w:bottom w:w="0" w:type="dxa"/>
            <w:right w:w="0" w:type="dxa"/>
          </w:tblCellMar>
        </w:tblPrEx>
        <w:trPr>
          <w:trHeight w:val="394"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165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275" w:hRule="atLeast"/>
        </w:trPr>
        <w:tc>
          <w:tcPr>
            <w:tcW w:w="459" w:type="dxa"/>
            <w:tcBorders>
              <w:top w:val="single" w:color="000000" w:sz="4" w:space="0"/>
              <w:left w:val="single" w:color="000000" w:sz="12" w:space="0"/>
              <w:bottom w:val="single" w:color="000000" w:sz="12" w:space="0"/>
              <w:right w:val="single" w:color="000000" w:sz="4" w:space="0"/>
            </w:tcBorders>
            <w:shd w:val="clear" w:color="auto" w:fill="auto"/>
            <w:tcMar>
              <w:top w:w="10" w:type="dxa"/>
              <w:left w:w="10" w:type="dxa"/>
              <w:right w:w="10" w:type="dxa"/>
            </w:tcMar>
            <w:vAlign w:val="center"/>
          </w:tcPr>
          <w:p>
            <w:pPr>
              <w:pStyle w:val="2"/>
              <w:jc w:val="center"/>
              <w:rPr>
                <w:rFonts w:hint="eastAsia" w:eastAsia="宋体"/>
                <w:lang w:val="en-US" w:eastAsia="zh-CN"/>
              </w:rPr>
            </w:pPr>
            <w:r>
              <w:rPr>
                <w:rFonts w:hint="eastAsia"/>
              </w:rPr>
              <w:t>1</w:t>
            </w:r>
            <w:r>
              <w:rPr>
                <w:rFonts w:hint="eastAsia"/>
                <w:lang w:val="en-US" w:eastAsia="zh-CN"/>
              </w:rPr>
              <w:t>0</w:t>
            </w:r>
          </w:p>
        </w:tc>
        <w:tc>
          <w:tcPr>
            <w:tcW w:w="1158"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jc w:val="center"/>
            </w:pPr>
            <w:r>
              <w:rPr>
                <w:rFonts w:hint="eastAsia"/>
              </w:rPr>
              <w:t>合计</w:t>
            </w:r>
          </w:p>
        </w:tc>
        <w:tc>
          <w:tcPr>
            <w:tcW w:w="1479"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pPr>
          </w:p>
        </w:tc>
        <w:tc>
          <w:tcPr>
            <w:tcW w:w="1519"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pPr>
          </w:p>
        </w:tc>
        <w:tc>
          <w:tcPr>
            <w:tcW w:w="1618"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pPr>
          </w:p>
        </w:tc>
        <w:tc>
          <w:tcPr>
            <w:tcW w:w="1549"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pPr>
          </w:p>
        </w:tc>
        <w:tc>
          <w:tcPr>
            <w:tcW w:w="554"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ind w:firstLine="0" w:firstLineChars="0"/>
              <w:jc w:val="center"/>
              <w:rPr>
                <w:rFonts w:hint="default"/>
                <w:lang w:val="en-US"/>
              </w:rPr>
            </w:pPr>
            <w:r>
              <w:rPr>
                <w:rFonts w:hint="eastAsia"/>
                <w:lang w:val="en-US" w:eastAsia="zh-CN"/>
              </w:rPr>
              <w:t>24</w:t>
            </w:r>
          </w:p>
        </w:tc>
        <w:tc>
          <w:tcPr>
            <w:tcW w:w="554" w:type="dxa"/>
            <w:tcBorders>
              <w:top w:val="single" w:color="000000" w:sz="4" w:space="0"/>
              <w:left w:val="single" w:color="000000" w:sz="4" w:space="0"/>
              <w:bottom w:val="single" w:color="000000" w:sz="12" w:space="0"/>
              <w:right w:val="single" w:color="000000" w:sz="12" w:space="0"/>
            </w:tcBorders>
            <w:shd w:val="clear" w:color="auto" w:fill="auto"/>
            <w:tcMar>
              <w:top w:w="10" w:type="dxa"/>
              <w:left w:w="10" w:type="dxa"/>
              <w:right w:w="10" w:type="dxa"/>
            </w:tcMar>
            <w:vAlign w:val="center"/>
          </w:tcPr>
          <w:p>
            <w:pPr>
              <w:pStyle w:val="2"/>
              <w:ind w:firstLine="0" w:firstLineChars="0"/>
              <w:jc w:val="center"/>
              <w:rPr>
                <w:rFonts w:hint="default"/>
                <w:lang w:val="en-US"/>
              </w:rPr>
            </w:pPr>
            <w:r>
              <w:rPr>
                <w:rFonts w:hint="eastAsia"/>
                <w:lang w:val="en-US" w:eastAsia="zh-CN"/>
              </w:rPr>
              <w:t>12</w:t>
            </w:r>
          </w:p>
        </w:tc>
      </w:tr>
    </w:tbl>
    <w:p>
      <w:pPr>
        <w:ind w:firstLine="454"/>
        <w:rPr>
          <w:rFonts w:hint="eastAsia" w:eastAsia="宋体"/>
          <w:lang w:eastAsia="zh-CN"/>
        </w:rPr>
      </w:pPr>
      <w:bookmarkStart w:id="6" w:name="_Toc144476173"/>
    </w:p>
    <w:p>
      <w:pPr>
        <w:rPr>
          <w:rFonts w:hint="eastAsia"/>
        </w:rPr>
      </w:pPr>
      <w:r>
        <w:rPr>
          <w:rFonts w:hint="eastAsia"/>
        </w:rPr>
        <w:br w:type="page"/>
      </w:r>
    </w:p>
    <w:p>
      <w:pPr>
        <w:ind w:firstLine="454"/>
      </w:pPr>
      <w:r>
        <w:rPr>
          <w:rFonts w:hint="eastAsia"/>
        </w:rPr>
        <w:t>六、考核标准与方式设计</w:t>
      </w:r>
      <w:bookmarkEnd w:id="6"/>
    </w:p>
    <w:p>
      <w:pPr>
        <w:ind w:firstLine="454"/>
      </w:pPr>
      <w:bookmarkStart w:id="7" w:name="_Hlk140356650"/>
      <w:bookmarkStart w:id="8" w:name="_Hlk140358302"/>
      <w:r>
        <w:rPr>
          <w:rFonts w:hint="eastAsia"/>
        </w:rPr>
        <w:t>（一）考核标准</w:t>
      </w:r>
    </w:p>
    <w:p>
      <w:pPr>
        <w:ind w:firstLine="454"/>
      </w:pPr>
      <w:r>
        <w:rPr>
          <w:rFonts w:hint="eastAsia"/>
        </w:rPr>
        <w:t>课程考核标准依据课程目标建立课程考核的“应知”“应会”体系，</w:t>
      </w:r>
      <w:bookmarkEnd w:id="7"/>
      <w:r>
        <w:rPr>
          <w:rFonts w:hint="eastAsia"/>
        </w:rPr>
        <w:t>详见表2。</w:t>
      </w:r>
    </w:p>
    <w:p>
      <w:pPr>
        <w:ind w:firstLine="454"/>
        <w:jc w:val="center"/>
      </w:pPr>
      <w:bookmarkStart w:id="9" w:name="_Hlk140356725"/>
      <w:r>
        <w:rPr>
          <w:rFonts w:hint="eastAsia"/>
        </w:rPr>
        <w:t>表2：课程考核标准表</w:t>
      </w:r>
      <w:bookmarkEnd w:id="8"/>
      <w:bookmarkEnd w:id="9"/>
    </w:p>
    <w:tbl>
      <w:tblPr>
        <w:tblStyle w:val="24"/>
        <w:tblW w:w="9320" w:type="dxa"/>
        <w:tblInd w:w="0" w:type="dxa"/>
        <w:tblLayout w:type="autofit"/>
        <w:tblCellMar>
          <w:top w:w="0" w:type="dxa"/>
          <w:left w:w="0" w:type="dxa"/>
          <w:bottom w:w="0" w:type="dxa"/>
          <w:right w:w="0" w:type="dxa"/>
        </w:tblCellMar>
      </w:tblPr>
      <w:tblGrid>
        <w:gridCol w:w="990"/>
        <w:gridCol w:w="1570"/>
        <w:gridCol w:w="3490"/>
        <w:gridCol w:w="3270"/>
      </w:tblGrid>
      <w:tr>
        <w:tblPrEx>
          <w:tblCellMar>
            <w:top w:w="0" w:type="dxa"/>
            <w:left w:w="0" w:type="dxa"/>
            <w:bottom w:w="0" w:type="dxa"/>
            <w:right w:w="0" w:type="dxa"/>
          </w:tblCellMar>
        </w:tblPrEx>
        <w:trPr>
          <w:trHeight w:val="394" w:hRule="atLeast"/>
          <w:tblHeader/>
        </w:trPr>
        <w:tc>
          <w:tcPr>
            <w:tcW w:w="990" w:type="dxa"/>
            <w:vMerge w:val="restart"/>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r>
              <w:rPr>
                <w:rFonts w:hint="eastAsia"/>
                <w:b/>
                <w:bCs/>
              </w:rPr>
              <w:t>序号</w:t>
            </w:r>
          </w:p>
        </w:tc>
        <w:tc>
          <w:tcPr>
            <w:tcW w:w="1570"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r>
              <w:rPr>
                <w:rFonts w:hint="eastAsia"/>
                <w:b/>
                <w:bCs/>
              </w:rPr>
              <w:t>教学单元</w:t>
            </w:r>
          </w:p>
        </w:tc>
        <w:tc>
          <w:tcPr>
            <w:tcW w:w="3490"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r>
              <w:rPr>
                <w:rFonts w:hint="eastAsia"/>
                <w:b/>
                <w:bCs/>
              </w:rPr>
              <w:t>应知</w:t>
            </w:r>
          </w:p>
        </w:tc>
        <w:tc>
          <w:tcPr>
            <w:tcW w:w="3270" w:type="dxa"/>
            <w:vMerge w:val="restart"/>
            <w:tcBorders>
              <w:top w:val="single" w:color="000000" w:sz="12"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b/>
                <w:bCs/>
              </w:rPr>
            </w:pPr>
            <w:r>
              <w:rPr>
                <w:rFonts w:hint="eastAsia"/>
                <w:b/>
                <w:bCs/>
              </w:rPr>
              <w:t>应会</w:t>
            </w:r>
          </w:p>
        </w:tc>
      </w:tr>
      <w:tr>
        <w:tblPrEx>
          <w:tblCellMar>
            <w:top w:w="0" w:type="dxa"/>
            <w:left w:w="0" w:type="dxa"/>
            <w:bottom w:w="0" w:type="dxa"/>
            <w:right w:w="0" w:type="dxa"/>
          </w:tblCellMar>
        </w:tblPrEx>
        <w:trPr>
          <w:trHeight w:val="394" w:hRule="atLeast"/>
          <w:tblHeader/>
        </w:trPr>
        <w:tc>
          <w:tcPr>
            <w:tcW w:w="990" w:type="dxa"/>
            <w:vMerge w:val="continue"/>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12"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840"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1</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DFDFE"/>
              <w:spacing w:before="0" w:beforeAutospacing="0" w:after="0" w:afterAutospacing="0" w:line="26" w:lineRule="atLeast"/>
              <w:ind w:left="0" w:leftChars="0" w:right="0" w:firstLine="0" w:firstLineChars="0"/>
              <w:jc w:val="center"/>
              <w:rPr>
                <w:rFonts w:hint="eastAsia"/>
                <w:color w:val="0000FF"/>
              </w:rPr>
            </w:pPr>
            <w:r>
              <w:rPr>
                <w:rFonts w:hint="default" w:ascii="宋体" w:hAnsi="宋体" w:eastAsia="宋体" w:cs="Times New Roman"/>
                <w:b w:val="0"/>
                <w:bCs w:val="0"/>
                <w:spacing w:val="10"/>
                <w:kern w:val="0"/>
                <w:sz w:val="21"/>
                <w:szCs w:val="24"/>
                <w:lang w:val="en-US" w:eastAsia="zh-CN" w:bidi="ar-SA"/>
              </w:rPr>
              <w:t>建设法律法规概述</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eastAsia="zh-CN"/>
              </w:rPr>
            </w:pPr>
            <w:r>
              <w:rPr>
                <w:rFonts w:hint="eastAsia"/>
              </w:rPr>
              <w:t>(1)建设法律法规的基本概念</w:t>
            </w:r>
          </w:p>
          <w:p>
            <w:pPr>
              <w:pStyle w:val="2"/>
              <w:rPr>
                <w:rFonts w:hint="eastAsia"/>
              </w:rPr>
            </w:pPr>
            <w:r>
              <w:rPr>
                <w:rFonts w:hint="eastAsia"/>
              </w:rPr>
              <w:t>(2)建设法律法规的基本原则</w:t>
            </w:r>
          </w:p>
          <w:p>
            <w:pPr>
              <w:pStyle w:val="2"/>
              <w:rPr>
                <w:rFonts w:hint="eastAsia"/>
              </w:rPr>
            </w:pPr>
            <w:r>
              <w:rPr>
                <w:rFonts w:hint="eastAsia"/>
              </w:rPr>
              <w:t>(3)建筑工程经济在工程项目管理、投资决策、成本控制等方面的实际应用情况</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lang w:eastAsia="zh-CN"/>
              </w:rPr>
            </w:pPr>
            <w:r>
              <w:rPr>
                <w:rFonts w:hint="eastAsia"/>
              </w:rPr>
              <w:t>(1)法律实践</w:t>
            </w:r>
          </w:p>
          <w:p>
            <w:pPr>
              <w:pStyle w:val="2"/>
              <w:rPr>
                <w:rFonts w:hint="eastAsia"/>
                <w:lang w:eastAsia="zh-CN"/>
              </w:rPr>
            </w:pPr>
            <w:r>
              <w:rPr>
                <w:rFonts w:hint="eastAsia"/>
              </w:rPr>
              <w:t>(2)</w:t>
            </w:r>
            <w:r>
              <w:rPr>
                <w:rFonts w:hint="eastAsia"/>
                <w:lang w:val="en-US" w:eastAsia="zh-CN"/>
              </w:rPr>
              <w:t>法律</w:t>
            </w:r>
            <w:r>
              <w:rPr>
                <w:rFonts w:hint="eastAsia"/>
              </w:rPr>
              <w:t>体系</w:t>
            </w:r>
          </w:p>
          <w:p>
            <w:pPr>
              <w:pStyle w:val="2"/>
              <w:rPr>
                <w:rFonts w:hint="eastAsia"/>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rPr>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2</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DFDFE"/>
              <w:spacing w:before="0" w:beforeAutospacing="0" w:after="0" w:afterAutospacing="0" w:line="26" w:lineRule="atLeast"/>
              <w:ind w:left="0" w:leftChars="0" w:right="0" w:firstLine="0" w:firstLineChars="0"/>
              <w:jc w:val="center"/>
              <w:rPr>
                <w:rFonts w:hint="eastAsia"/>
              </w:rPr>
            </w:pPr>
            <w:r>
              <w:rPr>
                <w:rFonts w:hint="default" w:ascii="宋体" w:hAnsi="宋体" w:eastAsia="宋体" w:cs="Times New Roman"/>
                <w:b w:val="0"/>
                <w:bCs w:val="0"/>
                <w:spacing w:val="10"/>
                <w:kern w:val="0"/>
                <w:sz w:val="21"/>
                <w:szCs w:val="24"/>
                <w:lang w:val="en-US" w:eastAsia="zh-CN" w:bidi="ar-SA"/>
              </w:rPr>
              <w:t>建设工程项目法律管理</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eastAsia="zh-CN"/>
              </w:rPr>
            </w:pPr>
            <w:r>
              <w:rPr>
                <w:rFonts w:hint="eastAsia"/>
              </w:rPr>
              <w:t>(1)建设工程法规制度</w:t>
            </w:r>
          </w:p>
          <w:p>
            <w:pPr>
              <w:pStyle w:val="2"/>
              <w:rPr>
                <w:rFonts w:hint="eastAsia"/>
                <w:lang w:eastAsia="zh-CN"/>
              </w:rPr>
            </w:pPr>
            <w:r>
              <w:rPr>
                <w:rFonts w:hint="eastAsia"/>
              </w:rPr>
              <w:t>(2)建设工程项目管理</w:t>
            </w:r>
          </w:p>
          <w:p>
            <w:pPr>
              <w:pStyle w:val="2"/>
              <w:rPr>
                <w:rFonts w:hint="eastAsia"/>
              </w:rPr>
            </w:pPr>
            <w:r>
              <w:rPr>
                <w:rFonts w:hint="eastAsia"/>
              </w:rPr>
              <w:t>(3)合同管理的基本原理和方法</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rPr>
            </w:pPr>
            <w:r>
              <w:rPr>
                <w:rFonts w:hint="eastAsia"/>
              </w:rPr>
              <w:t>(1)法律分析与应用</w:t>
            </w:r>
          </w:p>
          <w:p>
            <w:pPr>
              <w:pStyle w:val="2"/>
              <w:rPr>
                <w:rFonts w:hint="eastAsia"/>
              </w:rPr>
            </w:pPr>
            <w:r>
              <w:rPr>
                <w:rFonts w:hint="eastAsia"/>
              </w:rPr>
              <w:t>(2)合同管理</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540"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3</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default"/>
              </w:rPr>
              <w:t>建设工程质量安全法律法规</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rPr>
            </w:pPr>
            <w:r>
              <w:rPr>
                <w:rFonts w:hint="eastAsia"/>
              </w:rPr>
              <w:t>建设工程质量安全法律法规的基本内容和要求</w:t>
            </w:r>
          </w:p>
          <w:p>
            <w:pPr>
              <w:pStyle w:val="2"/>
              <w:rPr>
                <w:rFonts w:hint="eastAsia"/>
                <w:lang w:eastAsia="zh-CN"/>
              </w:rPr>
            </w:pPr>
            <w:r>
              <w:rPr>
                <w:rFonts w:hint="eastAsia"/>
              </w:rPr>
              <w:t>(2)国家标准、行业标准、地方标准等标准体系</w:t>
            </w:r>
          </w:p>
          <w:p>
            <w:pPr>
              <w:pStyle w:val="2"/>
              <w:rPr>
                <w:rFonts w:hint="eastAsia"/>
              </w:rPr>
            </w:pPr>
            <w:r>
              <w:rPr>
                <w:rFonts w:hint="eastAsia"/>
              </w:rPr>
              <w:t>(3)质量监督机构的职责和权力</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lang w:eastAsia="zh-CN"/>
              </w:rPr>
            </w:pPr>
            <w:r>
              <w:rPr>
                <w:rFonts w:hint="eastAsia"/>
              </w:rPr>
              <w:t>(1)工程质量安全事故处理的程序和方法</w:t>
            </w:r>
          </w:p>
          <w:p>
            <w:pPr>
              <w:pStyle w:val="2"/>
              <w:rPr>
                <w:rFonts w:hint="eastAsia"/>
              </w:rPr>
            </w:pPr>
            <w:r>
              <w:rPr>
                <w:rFonts w:hint="eastAsia"/>
              </w:rPr>
              <w:t>(2)法律知识分析工程质量</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4</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rPr>
            </w:pPr>
            <w:r>
              <w:rPr>
                <w:rFonts w:hint="default"/>
              </w:rPr>
              <w:t>建设工程环境保护法律法规</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eastAsia="zh-CN"/>
              </w:rPr>
            </w:pPr>
            <w:r>
              <w:rPr>
                <w:rFonts w:hint="eastAsia"/>
              </w:rPr>
              <w:t>(1)法律法规的基本内容</w:t>
            </w:r>
          </w:p>
          <w:p>
            <w:pPr>
              <w:pStyle w:val="2"/>
              <w:rPr>
                <w:rFonts w:hint="eastAsia"/>
              </w:rPr>
            </w:pPr>
            <w:r>
              <w:rPr>
                <w:rFonts w:hint="eastAsia"/>
              </w:rPr>
              <w:t>(2)环境保护的基本原则和制度</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lang w:eastAsia="zh-CN"/>
              </w:rPr>
            </w:pPr>
            <w:r>
              <w:rPr>
                <w:rFonts w:hint="eastAsia"/>
              </w:rPr>
              <w:t>(1)建设工程中的环保</w:t>
            </w:r>
          </w:p>
          <w:p>
            <w:pPr>
              <w:pStyle w:val="2"/>
              <w:rPr>
                <w:rFonts w:hint="eastAsia"/>
                <w:lang w:val="en-US" w:eastAsia="zh-CN"/>
              </w:rPr>
            </w:pPr>
            <w:r>
              <w:rPr>
                <w:rFonts w:hint="eastAsia"/>
              </w:rPr>
              <w:t>(2)环保问题</w:t>
            </w:r>
            <w:r>
              <w:rPr>
                <w:rFonts w:hint="eastAsia"/>
                <w:lang w:val="en-US" w:eastAsia="zh-CN"/>
              </w:rPr>
              <w:t>的</w:t>
            </w:r>
            <w:r>
              <w:rPr>
                <w:rFonts w:hint="eastAsia"/>
              </w:rPr>
              <w:t>识别</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5</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rPr>
            </w:pPr>
            <w:r>
              <w:rPr>
                <w:rFonts w:hint="default"/>
              </w:rPr>
              <w:t>建设工程规划与土地法律法规</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eastAsia="zh-CN"/>
              </w:rPr>
            </w:pPr>
            <w:r>
              <w:rPr>
                <w:rFonts w:hint="eastAsia"/>
              </w:rPr>
              <w:t>(1)法律法规</w:t>
            </w:r>
          </w:p>
          <w:p>
            <w:pPr>
              <w:pStyle w:val="2"/>
              <w:rPr>
                <w:rFonts w:hint="eastAsia"/>
                <w:lang w:eastAsia="zh-CN"/>
              </w:rPr>
            </w:pPr>
            <w:r>
              <w:rPr>
                <w:rFonts w:hint="eastAsia"/>
              </w:rPr>
              <w:t>(2)规划许可与土地使用</w:t>
            </w:r>
          </w:p>
          <w:p>
            <w:pPr>
              <w:pStyle w:val="2"/>
              <w:rPr>
                <w:rFonts w:hint="eastAsia"/>
              </w:rPr>
            </w:pPr>
            <w:r>
              <w:rPr>
                <w:rFonts w:hint="eastAsia"/>
              </w:rPr>
              <w:t>(3)土地征收与补偿知识</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lang w:eastAsia="zh-CN"/>
              </w:rPr>
            </w:pPr>
            <w:r>
              <w:rPr>
                <w:rFonts w:hint="eastAsia"/>
              </w:rPr>
              <w:t>(1)法律法规的基本内容和要求</w:t>
            </w:r>
          </w:p>
          <w:p>
            <w:pPr>
              <w:pStyle w:val="2"/>
              <w:rPr>
                <w:rFonts w:hint="eastAsia"/>
              </w:rPr>
            </w:pPr>
            <w:r>
              <w:rPr>
                <w:rFonts w:hint="eastAsia"/>
              </w:rPr>
              <w:t>(2)规划与土地管理</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6</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DFDFE"/>
              <w:spacing w:before="0" w:beforeAutospacing="0" w:after="0" w:afterAutospacing="0" w:line="26" w:lineRule="atLeast"/>
              <w:ind w:left="0" w:leftChars="0" w:right="0" w:firstLine="0" w:firstLineChars="0"/>
              <w:jc w:val="center"/>
              <w:rPr>
                <w:rFonts w:hint="eastAsia"/>
              </w:rPr>
            </w:pPr>
            <w:r>
              <w:rPr>
                <w:rFonts w:hint="default" w:ascii="宋体" w:hAnsi="宋体" w:eastAsia="宋体" w:cs="Times New Roman"/>
                <w:b w:val="0"/>
                <w:bCs w:val="0"/>
                <w:spacing w:val="10"/>
                <w:kern w:val="0"/>
                <w:sz w:val="21"/>
                <w:szCs w:val="24"/>
                <w:lang w:val="en-US" w:eastAsia="zh-CN" w:bidi="ar-SA"/>
              </w:rPr>
              <w:t>建设工程造价与财务管理法律法规</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eastAsia="zh-CN"/>
              </w:rPr>
            </w:pPr>
            <w:r>
              <w:rPr>
                <w:rFonts w:hint="eastAsia"/>
              </w:rPr>
              <w:t>(1)工程造价与财务管理法律法规的基本内容和要求</w:t>
            </w:r>
          </w:p>
          <w:p>
            <w:pPr>
              <w:pStyle w:val="2"/>
              <w:rPr>
                <w:rFonts w:hint="eastAsia"/>
                <w:lang w:eastAsia="zh-CN"/>
              </w:rPr>
            </w:pPr>
            <w:r>
              <w:rPr>
                <w:rFonts w:hint="eastAsia"/>
              </w:rPr>
              <w:t>(2)工程造价的确定与控制</w:t>
            </w:r>
          </w:p>
          <w:p>
            <w:pPr>
              <w:pStyle w:val="2"/>
              <w:rPr>
                <w:rFonts w:hint="eastAsia"/>
              </w:rPr>
            </w:pPr>
            <w:r>
              <w:rPr>
                <w:rFonts w:hint="eastAsia"/>
              </w:rPr>
              <w:t>(3)合同法在工程造价与财务管理中的应用</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lang w:eastAsia="zh-CN"/>
              </w:rPr>
            </w:pPr>
            <w:r>
              <w:rPr>
                <w:rFonts w:hint="eastAsia"/>
              </w:rPr>
              <w:t>(1)</w:t>
            </w:r>
            <w:r>
              <w:rPr>
                <w:rFonts w:hint="eastAsia"/>
                <w:lang w:val="en-US" w:eastAsia="zh-CN"/>
              </w:rPr>
              <w:t>工</w:t>
            </w:r>
            <w:r>
              <w:rPr>
                <w:rFonts w:hint="eastAsia"/>
              </w:rPr>
              <w:t>程造价与财务管理</w:t>
            </w:r>
          </w:p>
          <w:p>
            <w:pPr>
              <w:pStyle w:val="2"/>
              <w:rPr>
                <w:rFonts w:hint="eastAsia"/>
              </w:rPr>
            </w:pPr>
            <w:r>
              <w:rPr>
                <w:rFonts w:hint="eastAsia"/>
              </w:rPr>
              <w:t>(2)</w:t>
            </w:r>
            <w:r>
              <w:rPr>
                <w:rFonts w:hint="eastAsia"/>
                <w:lang w:val="en-US" w:eastAsia="zh-CN"/>
              </w:rPr>
              <w:t>财</w:t>
            </w:r>
            <w:r>
              <w:rPr>
                <w:rFonts w:hint="eastAsia"/>
              </w:rPr>
              <w:t>务管理的基本技能和方法</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1300" w:hRule="atLeast"/>
        </w:trPr>
        <w:tc>
          <w:tcPr>
            <w:tcW w:w="990"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7</w:t>
            </w:r>
          </w:p>
        </w:tc>
        <w:tc>
          <w:tcPr>
            <w:tcW w:w="15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rPr>
            </w:pPr>
            <w:r>
              <w:rPr>
                <w:rFonts w:hint="default"/>
              </w:rPr>
              <w:t>建设工程法律纠纷处理与解决</w:t>
            </w:r>
          </w:p>
        </w:tc>
        <w:tc>
          <w:tcPr>
            <w:tcW w:w="34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eastAsia="zh-CN"/>
              </w:rPr>
            </w:pPr>
            <w:r>
              <w:rPr>
                <w:rFonts w:hint="eastAsia"/>
              </w:rPr>
              <w:t>(1)法律纠纷的种类与特点</w:t>
            </w:r>
          </w:p>
          <w:p>
            <w:pPr>
              <w:pStyle w:val="2"/>
              <w:rPr>
                <w:rFonts w:hint="eastAsia"/>
              </w:rPr>
            </w:pPr>
            <w:r>
              <w:rPr>
                <w:rFonts w:hint="eastAsia"/>
              </w:rPr>
              <w:t>(2)法律纠纷的解决途径</w:t>
            </w:r>
          </w:p>
          <w:p>
            <w:pPr>
              <w:pStyle w:val="2"/>
              <w:rPr>
                <w:rFonts w:hint="eastAsia"/>
              </w:rPr>
            </w:pPr>
            <w:r>
              <w:rPr>
                <w:rFonts w:hint="eastAsia"/>
              </w:rPr>
              <w:t>(</w:t>
            </w:r>
            <w:r>
              <w:rPr>
                <w:rFonts w:hint="eastAsia"/>
                <w:lang w:val="en-US" w:eastAsia="zh-CN"/>
              </w:rPr>
              <w:t>3</w:t>
            </w:r>
            <w:r>
              <w:rPr>
                <w:rFonts w:hint="eastAsia"/>
              </w:rPr>
              <w:t>)证据的重要性与规则</w:t>
            </w:r>
          </w:p>
        </w:tc>
        <w:tc>
          <w:tcPr>
            <w:tcW w:w="3270"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lang w:eastAsia="zh-CN"/>
              </w:rPr>
            </w:pPr>
            <w:r>
              <w:rPr>
                <w:rFonts w:hint="eastAsia"/>
              </w:rPr>
              <w:t>(1)建设工程法律纠纷</w:t>
            </w:r>
          </w:p>
          <w:p>
            <w:pPr>
              <w:pStyle w:val="2"/>
              <w:rPr>
                <w:rFonts w:hint="eastAsia"/>
              </w:rPr>
            </w:pPr>
            <w:r>
              <w:rPr>
                <w:rFonts w:hint="eastAsia"/>
              </w:rPr>
              <w:t>(2)撰写法律文书、引用法律条款</w:t>
            </w:r>
          </w:p>
        </w:tc>
      </w:tr>
      <w:tr>
        <w:tblPrEx>
          <w:tblCellMar>
            <w:top w:w="0" w:type="dxa"/>
            <w:left w:w="0" w:type="dxa"/>
            <w:bottom w:w="0" w:type="dxa"/>
            <w:right w:w="0" w:type="dxa"/>
          </w:tblCellMar>
        </w:tblPrEx>
        <w:trPr>
          <w:trHeight w:val="1560" w:hRule="atLeast"/>
        </w:trPr>
        <w:tc>
          <w:tcPr>
            <w:tcW w:w="990"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8</w:t>
            </w:r>
          </w:p>
        </w:tc>
        <w:tc>
          <w:tcPr>
            <w:tcW w:w="15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rPr>
            </w:pPr>
            <w:r>
              <w:rPr>
                <w:rFonts w:hint="default"/>
              </w:rPr>
              <w:t>建设工程国际法律法规</w:t>
            </w:r>
          </w:p>
        </w:tc>
        <w:tc>
          <w:tcPr>
            <w:tcW w:w="34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eastAsia="zh-CN"/>
              </w:rPr>
            </w:pPr>
            <w:r>
              <w:rPr>
                <w:rFonts w:hint="eastAsia"/>
              </w:rPr>
              <w:t>(1)国际法律法规基础知识</w:t>
            </w:r>
          </w:p>
          <w:p>
            <w:pPr>
              <w:pStyle w:val="2"/>
              <w:rPr>
                <w:rFonts w:hint="eastAsia"/>
                <w:lang w:eastAsia="zh-CN"/>
              </w:rPr>
            </w:pPr>
            <w:r>
              <w:rPr>
                <w:rFonts w:hint="eastAsia"/>
              </w:rPr>
              <w:t>(2)国际合同法律制度</w:t>
            </w:r>
          </w:p>
          <w:p>
            <w:pPr>
              <w:pStyle w:val="2"/>
              <w:rPr>
                <w:rFonts w:hint="eastAsia"/>
              </w:rPr>
            </w:pPr>
            <w:r>
              <w:rPr>
                <w:rFonts w:hint="eastAsia"/>
              </w:rPr>
              <w:t>(3)国际争端解决机制</w:t>
            </w:r>
          </w:p>
        </w:tc>
        <w:tc>
          <w:tcPr>
            <w:tcW w:w="3270"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lang w:eastAsia="zh-CN"/>
              </w:rPr>
            </w:pPr>
            <w:r>
              <w:rPr>
                <w:rFonts w:hint="eastAsia"/>
              </w:rPr>
              <w:t>(1)国际法律法规体系与标准</w:t>
            </w:r>
          </w:p>
          <w:p>
            <w:pPr>
              <w:pStyle w:val="2"/>
              <w:rPr>
                <w:rFonts w:hint="eastAsia"/>
              </w:rPr>
            </w:pPr>
            <w:r>
              <w:rPr>
                <w:rFonts w:hint="eastAsia"/>
              </w:rPr>
              <w:t>(2)跨国建设项目的法律风险管理</w:t>
            </w:r>
          </w:p>
          <w:p>
            <w:pPr>
              <w:pStyle w:val="2"/>
              <w:rPr>
                <w:rFonts w:hint="eastAsia"/>
              </w:rPr>
            </w:pPr>
            <w:r>
              <w:rPr>
                <w:rFonts w:hint="eastAsia"/>
              </w:rPr>
              <w:t>(</w:t>
            </w:r>
            <w:r>
              <w:rPr>
                <w:rFonts w:hint="eastAsia"/>
                <w:lang w:val="en-US" w:eastAsia="zh-CN"/>
              </w:rPr>
              <w:t>3</w:t>
            </w:r>
            <w:r>
              <w:rPr>
                <w:rFonts w:hint="eastAsia"/>
              </w:rPr>
              <w:t>)法律研究与分析</w:t>
            </w: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9</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rPr>
            </w:pPr>
            <w:r>
              <w:rPr>
                <w:rFonts w:hint="default"/>
              </w:rPr>
              <w:t>建</w:t>
            </w:r>
            <w:r>
              <w:rPr>
                <w:rFonts w:hint="default"/>
                <w:lang w:val="en-US" w:eastAsia="zh-CN"/>
              </w:rPr>
              <w:t>设法律法规的遵守与监管</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rPr>
            </w:pPr>
            <w:r>
              <w:rPr>
                <w:rFonts w:hint="eastAsia"/>
              </w:rPr>
              <w:t>(1)建筑行为各主体的质量责任与义务</w:t>
            </w:r>
          </w:p>
          <w:p>
            <w:pPr>
              <w:pStyle w:val="2"/>
              <w:rPr>
                <w:rFonts w:hint="eastAsia"/>
              </w:rPr>
            </w:pPr>
            <w:r>
              <w:rPr>
                <w:rFonts w:hint="eastAsia"/>
              </w:rPr>
              <w:t>(2)建设工程的监管机制</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lang w:eastAsia="zh-CN"/>
              </w:rPr>
            </w:pPr>
            <w:r>
              <w:rPr>
                <w:rFonts w:hint="eastAsia"/>
              </w:rPr>
              <w:t>(1)施工许可、设计审查、施工图审查等程序</w:t>
            </w:r>
          </w:p>
          <w:p>
            <w:pPr>
              <w:pStyle w:val="2"/>
              <w:rPr>
                <w:rFonts w:hint="eastAsia"/>
              </w:rPr>
            </w:pPr>
            <w:r>
              <w:rPr>
                <w:rFonts w:hint="eastAsia"/>
              </w:rPr>
              <w:t>(2)监管检查</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12"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12" w:space="0"/>
              <w:right w:val="single" w:color="000000" w:sz="12" w:space="0"/>
            </w:tcBorders>
            <w:shd w:val="clear" w:color="auto" w:fill="auto"/>
            <w:tcMar>
              <w:top w:w="10" w:type="dxa"/>
              <w:left w:w="10" w:type="dxa"/>
              <w:right w:w="10" w:type="dxa"/>
            </w:tcMar>
            <w:vAlign w:val="center"/>
          </w:tcPr>
          <w:p>
            <w:pPr>
              <w:pStyle w:val="2"/>
            </w:pPr>
          </w:p>
        </w:tc>
      </w:tr>
    </w:tbl>
    <w:p>
      <w:pPr>
        <w:ind w:firstLine="454"/>
      </w:pPr>
    </w:p>
    <w:p>
      <w:pPr>
        <w:ind w:firstLine="454"/>
      </w:pPr>
      <w:r>
        <w:rPr>
          <w:rFonts w:hint="eastAsia"/>
        </w:rPr>
        <w:t>（二）考核方式</w:t>
      </w:r>
    </w:p>
    <w:p>
      <w:pPr>
        <w:ind w:firstLine="454"/>
      </w:pPr>
      <w:r>
        <w:rPr>
          <w:rFonts w:hint="eastAsia"/>
        </w:rPr>
        <w:t>本课程采用过程考核、理论考核、技能考核方式进行。</w:t>
      </w:r>
    </w:p>
    <w:p>
      <w:pPr>
        <w:ind w:firstLine="454"/>
      </w:pPr>
      <w:r>
        <w:rPr>
          <w:rFonts w:hint="eastAsia"/>
        </w:rPr>
        <w:t>1.过程考核：占课程总评成绩的40%。包括学生到课、课堂交流、实训练习、平时作业、阶段测练、期中考试等环节，由任课教师在课程教学过程中实施与评定；</w:t>
      </w:r>
    </w:p>
    <w:p>
      <w:pPr>
        <w:ind w:firstLine="454"/>
      </w:pPr>
      <w:r>
        <w:rPr>
          <w:rFonts w:hint="eastAsia"/>
        </w:rPr>
        <w:t>2.理论考核：占课程总评成绩的20%。由教研室在课程结束时组织实施，或在课程教学过程中分阶段实施；</w:t>
      </w:r>
    </w:p>
    <w:p>
      <w:pPr>
        <w:ind w:firstLine="454"/>
      </w:pPr>
      <w:r>
        <w:rPr>
          <w:rFonts w:hint="eastAsia"/>
        </w:rPr>
        <w:t>3.技能考核：占课程总评成绩的40%。由教研室制定技能考核方案，在课程结束或课程教学过程中分阶段，采用分组或个人抽签方式实施。</w:t>
      </w:r>
    </w:p>
    <w:p>
      <w:pPr>
        <w:ind w:firstLine="454"/>
      </w:pPr>
      <w:bookmarkStart w:id="10" w:name="_Toc144476174"/>
      <w:r>
        <w:rPr>
          <w:rFonts w:hint="eastAsia"/>
        </w:rPr>
        <w:t>七、实施建议</w:t>
      </w:r>
      <w:bookmarkEnd w:id="10"/>
    </w:p>
    <w:p>
      <w:pPr>
        <w:widowControl/>
        <w:ind w:firstLine="456" w:firstLineChars="200"/>
        <w:rPr>
          <w:rFonts w:ascii="宋体" w:hAnsi="宋体" w:cs="宋体"/>
          <w:bCs/>
          <w:color w:val="000000"/>
          <w:kern w:val="0"/>
          <w:szCs w:val="21"/>
        </w:rPr>
      </w:pPr>
      <w:r>
        <w:rPr>
          <w:rFonts w:hint="eastAsia" w:ascii="宋体" w:hAnsi="宋体" w:cs="宋体"/>
          <w:bCs/>
          <w:color w:val="000000"/>
          <w:kern w:val="0"/>
          <w:szCs w:val="21"/>
        </w:rPr>
        <w:t>（一）教材编写与使用选择</w:t>
      </w:r>
    </w:p>
    <w:p>
      <w:pPr>
        <w:ind w:firstLine="454"/>
        <w:rPr>
          <w:rFonts w:hint="eastAsia"/>
        </w:rPr>
      </w:pPr>
      <w:r>
        <w:rPr>
          <w:rFonts w:hint="eastAsia"/>
        </w:rPr>
        <w:t xml:space="preserve"> </w:t>
      </w:r>
      <w:bookmarkStart w:id="13" w:name="_GoBack"/>
      <w:r>
        <w:rPr>
          <w:rFonts w:hint="eastAsia"/>
        </w:rPr>
        <w:t>崔建鑫，董文涛</w:t>
      </w:r>
      <w:bookmarkEnd w:id="13"/>
      <w:r>
        <w:rPr>
          <w:rFonts w:hint="eastAsia"/>
        </w:rPr>
        <w:t>主编. 建设工程法规. 北京：北京理工大学出版社, 2022.01.建筑法-中国-高等职业教育-教材</w:t>
      </w:r>
    </w:p>
    <w:p>
      <w:pPr>
        <w:ind w:firstLine="454"/>
      </w:pPr>
      <w:r>
        <w:rPr>
          <w:rFonts w:hint="eastAsia"/>
        </w:rPr>
        <w:t>（二）教学方法与手段</w:t>
      </w:r>
    </w:p>
    <w:p>
      <w:pPr>
        <w:ind w:firstLine="454"/>
      </w:pPr>
      <w:r>
        <w:rPr>
          <w:rFonts w:hint="eastAsia"/>
        </w:rPr>
        <w:t>1.教学方法：</w:t>
      </w:r>
    </w:p>
    <w:p>
      <w:pPr>
        <w:ind w:firstLine="454"/>
      </w:pPr>
      <w:bookmarkStart w:id="11" w:name="_Hlk140358385"/>
      <w:r>
        <w:rPr>
          <w:rFonts w:hint="eastAsia"/>
        </w:rPr>
        <w:t>课程根据不同教学内容主要采用以下教学方式。</w:t>
      </w:r>
    </w:p>
    <w:p>
      <w:pPr>
        <w:ind w:firstLine="454"/>
      </w:pPr>
      <w:r>
        <w:rPr>
          <w:rFonts w:hint="eastAsia"/>
        </w:rPr>
        <w:t>（1）传递-接受式： 教师以讲授方式向学生传递教学内容，强调教师的指导作用，学生可以在课堂上接受大量的理论知识；</w:t>
      </w:r>
    </w:p>
    <w:p>
      <w:pPr>
        <w:ind w:firstLine="454"/>
      </w:pPr>
      <w:r>
        <w:rPr>
          <w:rFonts w:hint="eastAsia"/>
        </w:rPr>
        <w:t>（2）问题-探究式： 教师抛出课程案例， 以问题为线索，学生通过思考、实践、小组讨论等方式探究解决问题的方法，重点培养学生的学习能力和合作精神；</w:t>
      </w:r>
    </w:p>
    <w:p>
      <w:pPr>
        <w:ind w:firstLine="454"/>
      </w:pPr>
      <w:r>
        <w:rPr>
          <w:rFonts w:hint="eastAsia"/>
        </w:rPr>
        <w:t>（3）示范-模仿式： 采用在实践技能教学上，通过老师的示范，学生观看后动手操作的方式，锻炼学生技能，达到教学目的。</w:t>
      </w:r>
      <w:bookmarkEnd w:id="11"/>
    </w:p>
    <w:p>
      <w:pPr>
        <w:ind w:firstLine="454"/>
      </w:pPr>
      <w:r>
        <w:rPr>
          <w:rFonts w:hint="eastAsia"/>
        </w:rPr>
        <w:t>2.教学手段：</w:t>
      </w:r>
    </w:p>
    <w:p>
      <w:pPr>
        <w:ind w:firstLine="454"/>
      </w:pPr>
      <w:r>
        <w:rPr>
          <w:rFonts w:hint="eastAsia"/>
        </w:rPr>
        <w:t>本课程根据不同教学内容采用课堂多媒体教学、线上网络教学、实训室实践教学等多种教学手段。</w:t>
      </w:r>
    </w:p>
    <w:p>
      <w:pPr>
        <w:ind w:firstLine="454"/>
      </w:pPr>
      <w:r>
        <w:rPr>
          <w:rFonts w:hint="eastAsia"/>
        </w:rPr>
        <w:t>（三）课程资源开发与利用</w:t>
      </w:r>
    </w:p>
    <w:p>
      <w:pPr>
        <w:ind w:firstLine="454"/>
      </w:pPr>
      <w:r>
        <w:rPr>
          <w:rFonts w:hint="eastAsia"/>
        </w:rPr>
        <w:t>通过浏览网络精品课程，更有针对性地学习自己感兴趣的内容。</w:t>
      </w:r>
    </w:p>
    <w:p>
      <w:pPr>
        <w:ind w:firstLine="454"/>
      </w:pPr>
      <w:r>
        <w:rPr>
          <w:rFonts w:hint="eastAsia"/>
        </w:rPr>
        <w:t>1.中国大学 MOOC：</w:t>
      </w:r>
      <w:r>
        <w:t>建设工程法规</w:t>
      </w:r>
      <w:r>
        <w:rPr>
          <w:rFonts w:hint="eastAsia"/>
        </w:rPr>
        <w:t>https://www.icourse163.org/course/HHU-1206741804</w:t>
      </w:r>
    </w:p>
    <w:p>
      <w:pPr>
        <w:ind w:firstLine="454"/>
      </w:pPr>
      <w:r>
        <w:rPr>
          <w:rFonts w:hint="eastAsia"/>
        </w:rPr>
        <w:t>2.中国大学 MOOC：</w:t>
      </w:r>
      <w:r>
        <w:t>土木工程建设法规</w:t>
      </w:r>
      <w:r>
        <w:rPr>
          <w:rFonts w:hint="eastAsia"/>
        </w:rPr>
        <w:t>https://www.icourse163.org/course/CZIE-1455313161</w:t>
      </w:r>
    </w:p>
    <w:p>
      <w:pPr>
        <w:ind w:firstLine="454"/>
      </w:pPr>
      <w:r>
        <w:rPr>
          <w:rFonts w:hint="eastAsia"/>
        </w:rPr>
        <w:t>3.中国大学 MOOC：</w:t>
      </w:r>
      <w:r>
        <w:t>建设工程安全技术与管理</w:t>
      </w:r>
      <w:r>
        <w:rPr>
          <w:rFonts w:hint="eastAsia"/>
        </w:rPr>
        <w:t xml:space="preserve"> 国家精品 https://www.icourse163.org/course/YRCTI-1469251163</w:t>
      </w:r>
    </w:p>
    <w:p>
      <w:pPr>
        <w:ind w:firstLine="454"/>
      </w:pPr>
      <w:bookmarkStart w:id="12" w:name="_Toc144476175"/>
      <w:r>
        <w:rPr>
          <w:rFonts w:hint="eastAsia"/>
        </w:rPr>
        <w:t>八、编制说明</w:t>
      </w:r>
      <w:bookmarkEnd w:id="12"/>
    </w:p>
    <w:p>
      <w:pPr>
        <w:ind w:firstLine="454"/>
      </w:pPr>
      <w:r>
        <w:rPr>
          <w:rFonts w:hint="eastAsia"/>
        </w:rPr>
        <w:t>编写人：</w:t>
      </w:r>
      <w:r>
        <w:rPr>
          <w:rFonts w:hint="eastAsia"/>
          <w:lang w:val="en-US" w:eastAsia="zh-CN"/>
        </w:rPr>
        <w:t>黄漫莉</w:t>
      </w:r>
      <w:r>
        <w:rPr>
          <w:rFonts w:hint="eastAsia"/>
        </w:rPr>
        <w:t xml:space="preserve">  助教  赣西科技职业学院应急管理与艺术设计学院</w:t>
      </w:r>
    </w:p>
    <w:p>
      <w:pPr>
        <w:ind w:firstLine="454"/>
      </w:pPr>
      <w:r>
        <w:rPr>
          <w:rFonts w:hint="eastAsia"/>
        </w:rPr>
        <w:t>审核人：李良松  教授  赣西科技职业学院应急管理与艺术设计学院</w:t>
      </w:r>
    </w:p>
    <w:p>
      <w:pPr>
        <w:ind w:firstLine="454"/>
      </w:pPr>
      <w:r>
        <w:rPr>
          <w:rFonts w:hint="eastAsia"/>
        </w:rPr>
        <w:t>执行日：本标准从202</w:t>
      </w:r>
      <w:r>
        <w:rPr>
          <w:rFonts w:hint="eastAsia"/>
          <w:lang w:val="en-US" w:eastAsia="zh-CN"/>
        </w:rPr>
        <w:t>4</w:t>
      </w:r>
      <w:r>
        <w:rPr>
          <w:rFonts w:hint="eastAsia"/>
        </w:rPr>
        <w:t>年</w:t>
      </w:r>
      <w:r>
        <w:rPr>
          <w:rFonts w:hint="eastAsia"/>
          <w:lang w:val="en-US" w:eastAsia="zh-CN"/>
        </w:rPr>
        <w:t>9</w:t>
      </w:r>
      <w:r>
        <w:rPr>
          <w:rFonts w:hint="eastAsia"/>
        </w:rPr>
        <w:t>月起执行。</w:t>
      </w:r>
    </w:p>
    <w:sectPr>
      <w:headerReference r:id="rId5" w:type="default"/>
      <w:footerReference r:id="rId6" w:type="default"/>
      <w:pgSz w:w="11906" w:h="16838"/>
      <w:pgMar w:top="1701" w:right="1417" w:bottom="1417" w:left="1417" w:header="851" w:footer="992" w:gutter="0"/>
      <w:pgNumType w:start="1"/>
      <w:cols w:space="720" w:num="1"/>
      <w:docGrid w:type="linesAndChars" w:linePitch="394" w:charSpace="-261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56"/>
      </w:pPr>
      <w:r>
        <w:separator/>
      </w:r>
    </w:p>
  </w:endnote>
  <w:endnote w:type="continuationSeparator" w:id="1">
    <w:p>
      <w:pPr>
        <w:ind w:firstLine="456"/>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PingFang-SC-Regular">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tabs>
        <w:tab w:val="center" w:pos="4536"/>
        <w:tab w:val="clear" w:pos="4153"/>
      </w:tabs>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5"/>
                            <w:ind w:firstLine="360"/>
                            <w:rPr>
                              <w:rStyle w:val="28"/>
                            </w:rPr>
                          </w:pPr>
                          <w:r>
                            <w:fldChar w:fldCharType="begin"/>
                          </w:r>
                          <w:r>
                            <w:rPr>
                              <w:rStyle w:val="28"/>
                            </w:rPr>
                            <w:instrText xml:space="preserve">PAGE  </w:instrText>
                          </w:r>
                          <w:r>
                            <w:fldChar w:fldCharType="separate"/>
                          </w:r>
                          <w:r>
                            <w:rPr>
                              <w:rStyle w:val="28"/>
                            </w:rPr>
                            <w:t>- 2 -</w:t>
                          </w:r>
                          <w:r>
                            <w:fldChar w:fldCharType="end"/>
                          </w:r>
                        </w:p>
                      </w:txbxContent>
                    </wps:txbx>
                    <wps:bodyPr vert="horz" wrap="none" lIns="0" tIns="0" rIns="0" bIns="0" anchor="t" anchorCtr="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aGmCS9MAAAAFAQAADwAAAAAA&#10;AAABACAAAAAiAAAAZHJzL2Rvd25yZXYueG1sUEsBAhQAFAAAAAgAh07iQGJDhwTfAQAAvAMAAA4A&#10;AAAAAAAAAQAgAAAAIgEAAGRycy9lMm9Eb2MueG1sUEsFBgAAAAAGAAYAWQEAAHMFAAAAAA==&#10;">
              <v:fill on="f" focussize="0,0"/>
              <v:stroke on="f" weight="1.25pt"/>
              <v:imagedata o:title=""/>
              <o:lock v:ext="edit" aspectratio="f"/>
              <v:textbox inset="0mm,0mm,0mm,0mm" style="mso-fit-shape-to-text:t;">
                <w:txbxContent>
                  <w:p>
                    <w:pPr>
                      <w:pStyle w:val="15"/>
                      <w:ind w:firstLine="360"/>
                      <w:rPr>
                        <w:rStyle w:val="28"/>
                      </w:rPr>
                    </w:pPr>
                    <w:r>
                      <w:fldChar w:fldCharType="begin"/>
                    </w:r>
                    <w:r>
                      <w:rPr>
                        <w:rStyle w:val="28"/>
                      </w:rPr>
                      <w:instrText xml:space="preserve">PAGE  </w:instrText>
                    </w:r>
                    <w:r>
                      <w:fldChar w:fldCharType="separate"/>
                    </w:r>
                    <w:r>
                      <w:rPr>
                        <w:rStyle w:val="28"/>
                      </w:rPr>
                      <w:t>- 2 -</w:t>
                    </w:r>
                    <w:r>
                      <w:fldChar w:fldCharType="end"/>
                    </w:r>
                  </w:p>
                </w:txbxContent>
              </v:textbox>
            </v:shape>
          </w:pict>
        </mc:Fallback>
      </mc:AlternateContent>
    </w:r>
    <w:r>
      <w:rPr>
        <w:rFonts w:hint="eastAsia"/>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56"/>
      </w:pPr>
      <w:r>
        <w:separator/>
      </w:r>
    </w:p>
  </w:footnote>
  <w:footnote w:type="continuationSeparator" w:id="1">
    <w:p>
      <w:pPr>
        <w:ind w:firstLine="456"/>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94"/>
  <w:drawingGridVerticalSpacing w:val="19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MwYjQ4NTg1NmJjMzU5ZDZlODEyNWNkMzA2MmJkYjIifQ=="/>
  </w:docVars>
  <w:rsids>
    <w:rsidRoot w:val="00437DC1"/>
    <w:rsid w:val="00002FA5"/>
    <w:rsid w:val="0001471F"/>
    <w:rsid w:val="000213D4"/>
    <w:rsid w:val="0002203E"/>
    <w:rsid w:val="0003203F"/>
    <w:rsid w:val="0006073E"/>
    <w:rsid w:val="0006761E"/>
    <w:rsid w:val="00076329"/>
    <w:rsid w:val="000A2A3A"/>
    <w:rsid w:val="000C59C8"/>
    <w:rsid w:val="000F68D6"/>
    <w:rsid w:val="00112D50"/>
    <w:rsid w:val="00140607"/>
    <w:rsid w:val="00154577"/>
    <w:rsid w:val="001605F2"/>
    <w:rsid w:val="0016213B"/>
    <w:rsid w:val="001A0165"/>
    <w:rsid w:val="001A21A8"/>
    <w:rsid w:val="001B2607"/>
    <w:rsid w:val="001D0C30"/>
    <w:rsid w:val="0024382E"/>
    <w:rsid w:val="00272657"/>
    <w:rsid w:val="002762C4"/>
    <w:rsid w:val="00280CD0"/>
    <w:rsid w:val="002B3CEB"/>
    <w:rsid w:val="002D24D0"/>
    <w:rsid w:val="0030317C"/>
    <w:rsid w:val="0030335B"/>
    <w:rsid w:val="00305FC3"/>
    <w:rsid w:val="003661E4"/>
    <w:rsid w:val="00367EF1"/>
    <w:rsid w:val="00377C52"/>
    <w:rsid w:val="00386BCA"/>
    <w:rsid w:val="003E4465"/>
    <w:rsid w:val="004047CD"/>
    <w:rsid w:val="004109F2"/>
    <w:rsid w:val="00424A97"/>
    <w:rsid w:val="00437DC1"/>
    <w:rsid w:val="004401CF"/>
    <w:rsid w:val="00443189"/>
    <w:rsid w:val="00450A96"/>
    <w:rsid w:val="004620B2"/>
    <w:rsid w:val="00476338"/>
    <w:rsid w:val="00484FC9"/>
    <w:rsid w:val="004A0808"/>
    <w:rsid w:val="004C21BE"/>
    <w:rsid w:val="004D2559"/>
    <w:rsid w:val="0050638A"/>
    <w:rsid w:val="00516EE0"/>
    <w:rsid w:val="005278A0"/>
    <w:rsid w:val="00527FF0"/>
    <w:rsid w:val="005445A8"/>
    <w:rsid w:val="005515E3"/>
    <w:rsid w:val="00586F4E"/>
    <w:rsid w:val="00593F9E"/>
    <w:rsid w:val="005B363F"/>
    <w:rsid w:val="005C11A9"/>
    <w:rsid w:val="006068BD"/>
    <w:rsid w:val="00640410"/>
    <w:rsid w:val="00642EA4"/>
    <w:rsid w:val="00650DA2"/>
    <w:rsid w:val="00652E53"/>
    <w:rsid w:val="00666F7E"/>
    <w:rsid w:val="00667C77"/>
    <w:rsid w:val="006A4417"/>
    <w:rsid w:val="006E577D"/>
    <w:rsid w:val="006F7C3B"/>
    <w:rsid w:val="007013D1"/>
    <w:rsid w:val="0070764A"/>
    <w:rsid w:val="00730939"/>
    <w:rsid w:val="00744604"/>
    <w:rsid w:val="00767A30"/>
    <w:rsid w:val="007740DF"/>
    <w:rsid w:val="00783230"/>
    <w:rsid w:val="00787FF9"/>
    <w:rsid w:val="00794356"/>
    <w:rsid w:val="007E76E2"/>
    <w:rsid w:val="00803FAC"/>
    <w:rsid w:val="00855D42"/>
    <w:rsid w:val="008A05DD"/>
    <w:rsid w:val="008A52C2"/>
    <w:rsid w:val="008D3526"/>
    <w:rsid w:val="008E3735"/>
    <w:rsid w:val="009056EE"/>
    <w:rsid w:val="00910723"/>
    <w:rsid w:val="0094579E"/>
    <w:rsid w:val="00953D06"/>
    <w:rsid w:val="009A3A54"/>
    <w:rsid w:val="00A5511C"/>
    <w:rsid w:val="00A72B2D"/>
    <w:rsid w:val="00A72F24"/>
    <w:rsid w:val="00A87CF2"/>
    <w:rsid w:val="00AA52B3"/>
    <w:rsid w:val="00AC4188"/>
    <w:rsid w:val="00AD54F2"/>
    <w:rsid w:val="00AF2D48"/>
    <w:rsid w:val="00B05296"/>
    <w:rsid w:val="00B06132"/>
    <w:rsid w:val="00B375E3"/>
    <w:rsid w:val="00B553DC"/>
    <w:rsid w:val="00B6377E"/>
    <w:rsid w:val="00B678D7"/>
    <w:rsid w:val="00BA5AF6"/>
    <w:rsid w:val="00BF4DCF"/>
    <w:rsid w:val="00C01AA7"/>
    <w:rsid w:val="00C16C06"/>
    <w:rsid w:val="00C343A1"/>
    <w:rsid w:val="00C464B5"/>
    <w:rsid w:val="00C47CBA"/>
    <w:rsid w:val="00C81C77"/>
    <w:rsid w:val="00C96182"/>
    <w:rsid w:val="00CB7BAF"/>
    <w:rsid w:val="00CD38A8"/>
    <w:rsid w:val="00D2384E"/>
    <w:rsid w:val="00D36D6F"/>
    <w:rsid w:val="00D47FB9"/>
    <w:rsid w:val="00D74674"/>
    <w:rsid w:val="00D85D26"/>
    <w:rsid w:val="00D865F7"/>
    <w:rsid w:val="00D979C4"/>
    <w:rsid w:val="00DF0286"/>
    <w:rsid w:val="00DF4B58"/>
    <w:rsid w:val="00E06831"/>
    <w:rsid w:val="00E209B2"/>
    <w:rsid w:val="00E543C6"/>
    <w:rsid w:val="00E6193F"/>
    <w:rsid w:val="00E73ECA"/>
    <w:rsid w:val="00E745E7"/>
    <w:rsid w:val="00E954D8"/>
    <w:rsid w:val="00E967F2"/>
    <w:rsid w:val="00EB3951"/>
    <w:rsid w:val="00EC269F"/>
    <w:rsid w:val="00EC3142"/>
    <w:rsid w:val="00EC787E"/>
    <w:rsid w:val="00EF7E32"/>
    <w:rsid w:val="00F41D59"/>
    <w:rsid w:val="00F76EB2"/>
    <w:rsid w:val="00F921FC"/>
    <w:rsid w:val="00FA381E"/>
    <w:rsid w:val="00FA63B8"/>
    <w:rsid w:val="00FB550C"/>
    <w:rsid w:val="00FC102B"/>
    <w:rsid w:val="00FC13D9"/>
    <w:rsid w:val="00FC4C2B"/>
    <w:rsid w:val="00FD4F8E"/>
    <w:rsid w:val="00FD6F47"/>
    <w:rsid w:val="01065189"/>
    <w:rsid w:val="01675739"/>
    <w:rsid w:val="01E054EB"/>
    <w:rsid w:val="02160F0D"/>
    <w:rsid w:val="021F4265"/>
    <w:rsid w:val="023A13DD"/>
    <w:rsid w:val="023F66B6"/>
    <w:rsid w:val="02467A44"/>
    <w:rsid w:val="03887BE8"/>
    <w:rsid w:val="03B029CE"/>
    <w:rsid w:val="04275653"/>
    <w:rsid w:val="04B844FD"/>
    <w:rsid w:val="04F47CC8"/>
    <w:rsid w:val="077F1302"/>
    <w:rsid w:val="07D01B5E"/>
    <w:rsid w:val="082078DD"/>
    <w:rsid w:val="09361199"/>
    <w:rsid w:val="095742E5"/>
    <w:rsid w:val="097053A7"/>
    <w:rsid w:val="09DC2A3C"/>
    <w:rsid w:val="0AD4144C"/>
    <w:rsid w:val="0B185CF6"/>
    <w:rsid w:val="0B2C766D"/>
    <w:rsid w:val="0B9159C6"/>
    <w:rsid w:val="0C9D2956"/>
    <w:rsid w:val="0D0A78C0"/>
    <w:rsid w:val="0D267094"/>
    <w:rsid w:val="0D892EDB"/>
    <w:rsid w:val="0E2C21E4"/>
    <w:rsid w:val="0E8E2935"/>
    <w:rsid w:val="0EDB59B8"/>
    <w:rsid w:val="0F477209"/>
    <w:rsid w:val="10102717"/>
    <w:rsid w:val="1090453F"/>
    <w:rsid w:val="10B464C1"/>
    <w:rsid w:val="116C628A"/>
    <w:rsid w:val="11D230A2"/>
    <w:rsid w:val="13906D71"/>
    <w:rsid w:val="13AB3BAB"/>
    <w:rsid w:val="13F27A1A"/>
    <w:rsid w:val="146D2C0E"/>
    <w:rsid w:val="14B1436D"/>
    <w:rsid w:val="14C523FE"/>
    <w:rsid w:val="15597637"/>
    <w:rsid w:val="1570087D"/>
    <w:rsid w:val="16247C45"/>
    <w:rsid w:val="16962582"/>
    <w:rsid w:val="17277032"/>
    <w:rsid w:val="17606A5A"/>
    <w:rsid w:val="17872239"/>
    <w:rsid w:val="17F378CF"/>
    <w:rsid w:val="183E5B03"/>
    <w:rsid w:val="189744F2"/>
    <w:rsid w:val="19362169"/>
    <w:rsid w:val="195425EF"/>
    <w:rsid w:val="199E386A"/>
    <w:rsid w:val="19A704C2"/>
    <w:rsid w:val="19A741FA"/>
    <w:rsid w:val="19B412DF"/>
    <w:rsid w:val="1A0E09F0"/>
    <w:rsid w:val="1AE87493"/>
    <w:rsid w:val="1B420830"/>
    <w:rsid w:val="1B8D003A"/>
    <w:rsid w:val="1BDE0896"/>
    <w:rsid w:val="1C204A0A"/>
    <w:rsid w:val="1C444B2F"/>
    <w:rsid w:val="1C542906"/>
    <w:rsid w:val="1C6C12A7"/>
    <w:rsid w:val="1CB3587E"/>
    <w:rsid w:val="1CBD04AB"/>
    <w:rsid w:val="1D3F3968"/>
    <w:rsid w:val="1D507571"/>
    <w:rsid w:val="1D5261F8"/>
    <w:rsid w:val="1D7B2840"/>
    <w:rsid w:val="1E124827"/>
    <w:rsid w:val="1E8E20FF"/>
    <w:rsid w:val="1EE066D3"/>
    <w:rsid w:val="1EFA59E6"/>
    <w:rsid w:val="1FB042F7"/>
    <w:rsid w:val="1FCA648F"/>
    <w:rsid w:val="204C7DFA"/>
    <w:rsid w:val="21662F05"/>
    <w:rsid w:val="21BE2A90"/>
    <w:rsid w:val="21ED3B45"/>
    <w:rsid w:val="22031056"/>
    <w:rsid w:val="222A68E9"/>
    <w:rsid w:val="227D2BB6"/>
    <w:rsid w:val="22941CAE"/>
    <w:rsid w:val="22B967CD"/>
    <w:rsid w:val="22E110D2"/>
    <w:rsid w:val="22E2686B"/>
    <w:rsid w:val="230C0252"/>
    <w:rsid w:val="23353491"/>
    <w:rsid w:val="233D40F4"/>
    <w:rsid w:val="237332A0"/>
    <w:rsid w:val="23C44815"/>
    <w:rsid w:val="23DA7B95"/>
    <w:rsid w:val="23E66539"/>
    <w:rsid w:val="254774AC"/>
    <w:rsid w:val="259115FA"/>
    <w:rsid w:val="26435EC5"/>
    <w:rsid w:val="26470824"/>
    <w:rsid w:val="265F25D3"/>
    <w:rsid w:val="267267AA"/>
    <w:rsid w:val="27173710"/>
    <w:rsid w:val="280D244A"/>
    <w:rsid w:val="284D1368"/>
    <w:rsid w:val="289F315B"/>
    <w:rsid w:val="28B5472C"/>
    <w:rsid w:val="293A6627"/>
    <w:rsid w:val="29FD769A"/>
    <w:rsid w:val="2ADB2B70"/>
    <w:rsid w:val="2AE664B7"/>
    <w:rsid w:val="2BA271EA"/>
    <w:rsid w:val="2BBF5FEE"/>
    <w:rsid w:val="2C2B3683"/>
    <w:rsid w:val="2C836567"/>
    <w:rsid w:val="2CE43832"/>
    <w:rsid w:val="2DF857E7"/>
    <w:rsid w:val="2F634C98"/>
    <w:rsid w:val="2FA8323D"/>
    <w:rsid w:val="2FD1167E"/>
    <w:rsid w:val="2FE029D7"/>
    <w:rsid w:val="300639C1"/>
    <w:rsid w:val="31010E56"/>
    <w:rsid w:val="318E4980"/>
    <w:rsid w:val="319E48F7"/>
    <w:rsid w:val="32D305D1"/>
    <w:rsid w:val="335715E3"/>
    <w:rsid w:val="33A361F5"/>
    <w:rsid w:val="33B23743"/>
    <w:rsid w:val="34724777"/>
    <w:rsid w:val="349F4E09"/>
    <w:rsid w:val="34EF0FC6"/>
    <w:rsid w:val="351A6043"/>
    <w:rsid w:val="357240D1"/>
    <w:rsid w:val="358160C2"/>
    <w:rsid w:val="362F1FC2"/>
    <w:rsid w:val="36C546D4"/>
    <w:rsid w:val="36DE2BF5"/>
    <w:rsid w:val="36E42DAC"/>
    <w:rsid w:val="375717D0"/>
    <w:rsid w:val="379F4F25"/>
    <w:rsid w:val="37ED6C72"/>
    <w:rsid w:val="3801634D"/>
    <w:rsid w:val="39253208"/>
    <w:rsid w:val="397321C6"/>
    <w:rsid w:val="397F73F1"/>
    <w:rsid w:val="3A933578"/>
    <w:rsid w:val="3AEA1219"/>
    <w:rsid w:val="3B361965"/>
    <w:rsid w:val="3B3836C7"/>
    <w:rsid w:val="3B944FC1"/>
    <w:rsid w:val="3C7E2E74"/>
    <w:rsid w:val="3E5C76CC"/>
    <w:rsid w:val="400E49F6"/>
    <w:rsid w:val="412520DB"/>
    <w:rsid w:val="413A3E24"/>
    <w:rsid w:val="42EB54C2"/>
    <w:rsid w:val="42F336FD"/>
    <w:rsid w:val="43B41D58"/>
    <w:rsid w:val="43DF5027"/>
    <w:rsid w:val="43FB7987"/>
    <w:rsid w:val="44111519"/>
    <w:rsid w:val="44581671"/>
    <w:rsid w:val="44BD69EB"/>
    <w:rsid w:val="44C304A5"/>
    <w:rsid w:val="44DA0898"/>
    <w:rsid w:val="45293CBB"/>
    <w:rsid w:val="45570BED"/>
    <w:rsid w:val="467B090B"/>
    <w:rsid w:val="46C73B51"/>
    <w:rsid w:val="473531B0"/>
    <w:rsid w:val="47E32C0C"/>
    <w:rsid w:val="48093144"/>
    <w:rsid w:val="486F271D"/>
    <w:rsid w:val="49415E3C"/>
    <w:rsid w:val="49B06D44"/>
    <w:rsid w:val="4AD52CE0"/>
    <w:rsid w:val="4B105AC6"/>
    <w:rsid w:val="4B46598C"/>
    <w:rsid w:val="4B72052F"/>
    <w:rsid w:val="4BA44460"/>
    <w:rsid w:val="4BB328F5"/>
    <w:rsid w:val="4BBF354C"/>
    <w:rsid w:val="4C6D0CF6"/>
    <w:rsid w:val="4C72455F"/>
    <w:rsid w:val="4CAF7561"/>
    <w:rsid w:val="4CCE3E8B"/>
    <w:rsid w:val="4D1B4BF6"/>
    <w:rsid w:val="4D626381"/>
    <w:rsid w:val="4E195F1D"/>
    <w:rsid w:val="4E962786"/>
    <w:rsid w:val="4ED80FF1"/>
    <w:rsid w:val="4ED96B17"/>
    <w:rsid w:val="4EE07EA5"/>
    <w:rsid w:val="4EFE1241"/>
    <w:rsid w:val="4F05790C"/>
    <w:rsid w:val="4F7905D1"/>
    <w:rsid w:val="4FB76E58"/>
    <w:rsid w:val="50B11AF9"/>
    <w:rsid w:val="52524C16"/>
    <w:rsid w:val="52546BE0"/>
    <w:rsid w:val="527C510E"/>
    <w:rsid w:val="5572737D"/>
    <w:rsid w:val="55BE25C3"/>
    <w:rsid w:val="56562F98"/>
    <w:rsid w:val="568455BA"/>
    <w:rsid w:val="580544D9"/>
    <w:rsid w:val="58966C0D"/>
    <w:rsid w:val="58C779E0"/>
    <w:rsid w:val="591C5F7E"/>
    <w:rsid w:val="59561476"/>
    <w:rsid w:val="59C12681"/>
    <w:rsid w:val="5B85605C"/>
    <w:rsid w:val="5C2E04A2"/>
    <w:rsid w:val="5D1644FA"/>
    <w:rsid w:val="5D72033C"/>
    <w:rsid w:val="5DA0717E"/>
    <w:rsid w:val="5E15111B"/>
    <w:rsid w:val="5E512226"/>
    <w:rsid w:val="5E9F11E3"/>
    <w:rsid w:val="5EE4309A"/>
    <w:rsid w:val="5F0674B4"/>
    <w:rsid w:val="5F555D46"/>
    <w:rsid w:val="5FA016B7"/>
    <w:rsid w:val="60213E7A"/>
    <w:rsid w:val="60F125FD"/>
    <w:rsid w:val="614C4F26"/>
    <w:rsid w:val="617D1584"/>
    <w:rsid w:val="619A0388"/>
    <w:rsid w:val="61EB04C1"/>
    <w:rsid w:val="62AD7C47"/>
    <w:rsid w:val="63804BA4"/>
    <w:rsid w:val="64504D2E"/>
    <w:rsid w:val="651641C9"/>
    <w:rsid w:val="651B533C"/>
    <w:rsid w:val="652C1B09"/>
    <w:rsid w:val="65594967"/>
    <w:rsid w:val="662F23B5"/>
    <w:rsid w:val="66301950"/>
    <w:rsid w:val="670D5158"/>
    <w:rsid w:val="675039C2"/>
    <w:rsid w:val="6796339F"/>
    <w:rsid w:val="6881195A"/>
    <w:rsid w:val="690B56C7"/>
    <w:rsid w:val="695063C7"/>
    <w:rsid w:val="6AD077A7"/>
    <w:rsid w:val="6AE0610B"/>
    <w:rsid w:val="6BB80929"/>
    <w:rsid w:val="6BB9765C"/>
    <w:rsid w:val="6BDA0208"/>
    <w:rsid w:val="6C1D5E3D"/>
    <w:rsid w:val="6C29094A"/>
    <w:rsid w:val="6C523D39"/>
    <w:rsid w:val="6C830396"/>
    <w:rsid w:val="6CA1081C"/>
    <w:rsid w:val="6D2356D5"/>
    <w:rsid w:val="6D5B17BF"/>
    <w:rsid w:val="6D8A5754"/>
    <w:rsid w:val="6E587601"/>
    <w:rsid w:val="6EED6302"/>
    <w:rsid w:val="6F173018"/>
    <w:rsid w:val="6F3C2A7E"/>
    <w:rsid w:val="6F6F1C10"/>
    <w:rsid w:val="6FA20212"/>
    <w:rsid w:val="6FE74798"/>
    <w:rsid w:val="706202C3"/>
    <w:rsid w:val="707B75D6"/>
    <w:rsid w:val="70967F6C"/>
    <w:rsid w:val="71007B4F"/>
    <w:rsid w:val="711E21C7"/>
    <w:rsid w:val="71AC72D9"/>
    <w:rsid w:val="72643853"/>
    <w:rsid w:val="72942FF3"/>
    <w:rsid w:val="72AF5F7B"/>
    <w:rsid w:val="72C64246"/>
    <w:rsid w:val="72E60E9A"/>
    <w:rsid w:val="730E64E0"/>
    <w:rsid w:val="7318110C"/>
    <w:rsid w:val="732857F3"/>
    <w:rsid w:val="74AD3448"/>
    <w:rsid w:val="74BB7AE0"/>
    <w:rsid w:val="752605E7"/>
    <w:rsid w:val="752B15CB"/>
    <w:rsid w:val="75611A4D"/>
    <w:rsid w:val="75862CA5"/>
    <w:rsid w:val="75D40F95"/>
    <w:rsid w:val="75DF5721"/>
    <w:rsid w:val="75EB43FB"/>
    <w:rsid w:val="76592168"/>
    <w:rsid w:val="76962A74"/>
    <w:rsid w:val="76DD4B47"/>
    <w:rsid w:val="771D4F43"/>
    <w:rsid w:val="77277B70"/>
    <w:rsid w:val="77470352"/>
    <w:rsid w:val="77AA2F5A"/>
    <w:rsid w:val="780040FD"/>
    <w:rsid w:val="78572B2F"/>
    <w:rsid w:val="7883171E"/>
    <w:rsid w:val="78D21D5D"/>
    <w:rsid w:val="790E2C82"/>
    <w:rsid w:val="79426EE3"/>
    <w:rsid w:val="799F60E4"/>
    <w:rsid w:val="7A6D7F90"/>
    <w:rsid w:val="7AB86F1A"/>
    <w:rsid w:val="7B1B5B59"/>
    <w:rsid w:val="7B963E5A"/>
    <w:rsid w:val="7BB73BB8"/>
    <w:rsid w:val="7BD227A0"/>
    <w:rsid w:val="7BED75DA"/>
    <w:rsid w:val="7C234202"/>
    <w:rsid w:val="7CA85FD9"/>
    <w:rsid w:val="7CCE66D8"/>
    <w:rsid w:val="7CD02911"/>
    <w:rsid w:val="7CEA7FF6"/>
    <w:rsid w:val="7D4A0A5C"/>
    <w:rsid w:val="7D656F25"/>
    <w:rsid w:val="7E785D64"/>
    <w:rsid w:val="7E964F37"/>
    <w:rsid w:val="7EDC56E4"/>
    <w:rsid w:val="7F2F7F0A"/>
    <w:rsid w:val="7FBE00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ind w:firstLine="856" w:firstLineChars="200"/>
    </w:pPr>
    <w:rPr>
      <w:rFonts w:ascii="宋体" w:hAnsi="宋体" w:eastAsia="宋体" w:cs="Times New Roman"/>
      <w:kern w:val="2"/>
      <w:sz w:val="24"/>
      <w:szCs w:val="24"/>
      <w:lang w:val="en-US" w:eastAsia="zh-CN" w:bidi="ar-SA"/>
    </w:rPr>
  </w:style>
  <w:style w:type="paragraph" w:styleId="3">
    <w:name w:val="heading 1"/>
    <w:basedOn w:val="1"/>
    <w:next w:val="1"/>
    <w:autoRedefine/>
    <w:qFormat/>
    <w:uiPriority w:val="0"/>
    <w:pPr>
      <w:widowControl/>
      <w:spacing w:before="100" w:beforeAutospacing="1" w:after="100" w:afterAutospacing="1"/>
      <w:outlineLvl w:val="0"/>
    </w:pPr>
    <w:rPr>
      <w:rFonts w:cs="宋体"/>
      <w:b/>
      <w:bCs/>
      <w:kern w:val="36"/>
      <w:sz w:val="48"/>
      <w:szCs w:val="48"/>
    </w:rPr>
  </w:style>
  <w:style w:type="paragraph" w:styleId="4">
    <w:name w:val="heading 2"/>
    <w:basedOn w:val="1"/>
    <w:next w:val="1"/>
    <w:link w:val="45"/>
    <w:autoRedefine/>
    <w:qFormat/>
    <w:uiPriority w:val="0"/>
    <w:pPr>
      <w:widowControl/>
      <w:spacing w:before="100" w:beforeAutospacing="1" w:after="100" w:afterAutospacing="1"/>
      <w:outlineLvl w:val="1"/>
    </w:pPr>
    <w:rPr>
      <w:rFonts w:cs="宋体"/>
      <w:b/>
      <w:bCs/>
      <w:kern w:val="0"/>
      <w:sz w:val="36"/>
      <w:szCs w:val="36"/>
    </w:rPr>
  </w:style>
  <w:style w:type="paragraph" w:styleId="5">
    <w:name w:val="heading 3"/>
    <w:basedOn w:val="1"/>
    <w:next w:val="1"/>
    <w:autoRedefine/>
    <w:qFormat/>
    <w:uiPriority w:val="0"/>
    <w:pPr>
      <w:keepNext/>
      <w:keepLines/>
      <w:spacing w:before="260" w:after="260" w:line="416" w:lineRule="auto"/>
      <w:outlineLvl w:val="2"/>
    </w:pPr>
    <w:rPr>
      <w:b/>
      <w:bCs/>
      <w:sz w:val="32"/>
      <w:szCs w:val="32"/>
    </w:rPr>
  </w:style>
  <w:style w:type="character" w:default="1" w:styleId="26">
    <w:name w:val="Default Paragraph Font"/>
    <w:autoRedefine/>
    <w:semiHidden/>
    <w:unhideWhenUsed/>
    <w:qFormat/>
    <w:uiPriority w:val="1"/>
  </w:style>
  <w:style w:type="table" w:default="1" w:styleId="24">
    <w:name w:val="Normal Table"/>
    <w:autoRedefine/>
    <w:semiHidden/>
    <w:unhideWhenUsed/>
    <w:qFormat/>
    <w:uiPriority w:val="99"/>
    <w:tblPr>
      <w:tblCellMar>
        <w:top w:w="0" w:type="dxa"/>
        <w:left w:w="108" w:type="dxa"/>
        <w:bottom w:w="0" w:type="dxa"/>
        <w:right w:w="108" w:type="dxa"/>
      </w:tblCellMar>
    </w:tblPr>
  </w:style>
  <w:style w:type="paragraph" w:customStyle="1" w:styleId="2">
    <w:name w:val="表格文字"/>
    <w:basedOn w:val="1"/>
    <w:autoRedefine/>
    <w:qFormat/>
    <w:uiPriority w:val="0"/>
    <w:pPr>
      <w:ind w:firstLine="0" w:firstLineChars="0"/>
    </w:pPr>
    <w:rPr>
      <w:spacing w:val="10"/>
      <w:kern w:val="0"/>
      <w:sz w:val="21"/>
    </w:rPr>
  </w:style>
  <w:style w:type="paragraph" w:styleId="6">
    <w:name w:val="toc 7"/>
    <w:basedOn w:val="1"/>
    <w:next w:val="1"/>
    <w:autoRedefine/>
    <w:unhideWhenUsed/>
    <w:qFormat/>
    <w:uiPriority w:val="39"/>
    <w:pPr>
      <w:ind w:left="2520" w:leftChars="1200" w:firstLine="0" w:firstLineChars="0"/>
      <w:jc w:val="both"/>
    </w:pPr>
    <w:rPr>
      <w:rFonts w:asciiTheme="minorHAnsi" w:hAnsiTheme="minorHAnsi" w:eastAsiaTheme="minorEastAsia" w:cstheme="minorBidi"/>
      <w:sz w:val="21"/>
      <w:szCs w:val="22"/>
    </w:rPr>
  </w:style>
  <w:style w:type="paragraph" w:styleId="7">
    <w:name w:val="Normal Indent"/>
    <w:basedOn w:val="1"/>
    <w:autoRedefine/>
    <w:qFormat/>
    <w:uiPriority w:val="0"/>
    <w:pPr>
      <w:widowControl/>
      <w:spacing w:before="100" w:beforeAutospacing="1" w:after="100" w:afterAutospacing="1"/>
    </w:pPr>
    <w:rPr>
      <w:rFonts w:cs="宋体"/>
      <w:kern w:val="0"/>
    </w:rPr>
  </w:style>
  <w:style w:type="paragraph" w:styleId="8">
    <w:name w:val="Body Text"/>
    <w:basedOn w:val="1"/>
    <w:link w:val="34"/>
    <w:autoRedefine/>
    <w:qFormat/>
    <w:uiPriority w:val="0"/>
    <w:pPr>
      <w:spacing w:after="120"/>
    </w:pPr>
  </w:style>
  <w:style w:type="paragraph" w:styleId="9">
    <w:name w:val="Body Text Indent"/>
    <w:basedOn w:val="1"/>
    <w:autoRedefine/>
    <w:qFormat/>
    <w:uiPriority w:val="0"/>
    <w:pPr>
      <w:spacing w:line="400" w:lineRule="exact"/>
      <w:ind w:firstLine="420"/>
    </w:pPr>
    <w:rPr>
      <w:szCs w:val="21"/>
    </w:rPr>
  </w:style>
  <w:style w:type="paragraph" w:styleId="10">
    <w:name w:val="toc 5"/>
    <w:basedOn w:val="1"/>
    <w:next w:val="1"/>
    <w:autoRedefine/>
    <w:unhideWhenUsed/>
    <w:qFormat/>
    <w:uiPriority w:val="39"/>
    <w:pPr>
      <w:ind w:left="1680" w:leftChars="800" w:firstLine="0" w:firstLineChars="0"/>
      <w:jc w:val="both"/>
    </w:pPr>
    <w:rPr>
      <w:rFonts w:asciiTheme="minorHAnsi" w:hAnsiTheme="minorHAnsi" w:eastAsiaTheme="minorEastAsia" w:cstheme="minorBidi"/>
      <w:sz w:val="21"/>
      <w:szCs w:val="22"/>
    </w:rPr>
  </w:style>
  <w:style w:type="paragraph" w:styleId="11">
    <w:name w:val="toc 3"/>
    <w:basedOn w:val="1"/>
    <w:next w:val="1"/>
    <w:autoRedefine/>
    <w:unhideWhenUsed/>
    <w:qFormat/>
    <w:uiPriority w:val="39"/>
    <w:pPr>
      <w:ind w:left="840" w:leftChars="400" w:firstLine="0" w:firstLineChars="0"/>
      <w:jc w:val="both"/>
    </w:pPr>
    <w:rPr>
      <w:rFonts w:asciiTheme="minorHAnsi" w:hAnsiTheme="minorHAnsi" w:eastAsiaTheme="minorEastAsia" w:cstheme="minorBidi"/>
      <w:sz w:val="21"/>
      <w:szCs w:val="22"/>
    </w:rPr>
  </w:style>
  <w:style w:type="paragraph" w:styleId="12">
    <w:name w:val="Plain Text"/>
    <w:basedOn w:val="1"/>
    <w:autoRedefine/>
    <w:qFormat/>
    <w:uiPriority w:val="0"/>
    <w:pPr>
      <w:widowControl/>
      <w:spacing w:before="100" w:beforeAutospacing="1" w:after="100" w:afterAutospacing="1"/>
    </w:pPr>
    <w:rPr>
      <w:rFonts w:cs="宋体"/>
      <w:kern w:val="0"/>
    </w:rPr>
  </w:style>
  <w:style w:type="paragraph" w:styleId="13">
    <w:name w:val="toc 8"/>
    <w:basedOn w:val="1"/>
    <w:next w:val="1"/>
    <w:autoRedefine/>
    <w:unhideWhenUsed/>
    <w:qFormat/>
    <w:uiPriority w:val="39"/>
    <w:pPr>
      <w:ind w:left="2940" w:leftChars="1400" w:firstLine="0" w:firstLineChars="0"/>
      <w:jc w:val="both"/>
    </w:pPr>
    <w:rPr>
      <w:rFonts w:asciiTheme="minorHAnsi" w:hAnsiTheme="minorHAnsi" w:eastAsiaTheme="minorEastAsia" w:cstheme="minorBidi"/>
      <w:sz w:val="21"/>
      <w:szCs w:val="22"/>
    </w:rPr>
  </w:style>
  <w:style w:type="paragraph" w:styleId="14">
    <w:name w:val="Body Text Indent 2"/>
    <w:basedOn w:val="1"/>
    <w:autoRedefine/>
    <w:qFormat/>
    <w:uiPriority w:val="0"/>
    <w:pPr>
      <w:spacing w:line="360" w:lineRule="exact"/>
      <w:ind w:left="420"/>
    </w:pPr>
    <w:rPr>
      <w:szCs w:val="20"/>
    </w:rPr>
  </w:style>
  <w:style w:type="paragraph" w:styleId="15">
    <w:name w:val="footer"/>
    <w:basedOn w:val="1"/>
    <w:link w:val="54"/>
    <w:autoRedefine/>
    <w:qFormat/>
    <w:uiPriority w:val="0"/>
    <w:pPr>
      <w:tabs>
        <w:tab w:val="center" w:pos="4153"/>
        <w:tab w:val="right" w:pos="8306"/>
      </w:tabs>
      <w:snapToGrid w:val="0"/>
    </w:pPr>
    <w:rPr>
      <w:sz w:val="18"/>
      <w:szCs w:val="18"/>
    </w:rPr>
  </w:style>
  <w:style w:type="paragraph" w:styleId="16">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autoRedefine/>
    <w:qFormat/>
    <w:uiPriority w:val="39"/>
  </w:style>
  <w:style w:type="paragraph" w:styleId="18">
    <w:name w:val="toc 4"/>
    <w:basedOn w:val="1"/>
    <w:next w:val="1"/>
    <w:autoRedefine/>
    <w:unhideWhenUsed/>
    <w:qFormat/>
    <w:uiPriority w:val="39"/>
    <w:pPr>
      <w:ind w:left="1260" w:leftChars="600" w:firstLine="0" w:firstLineChars="0"/>
      <w:jc w:val="both"/>
    </w:pPr>
    <w:rPr>
      <w:rFonts w:asciiTheme="minorHAnsi" w:hAnsiTheme="minorHAnsi" w:eastAsiaTheme="minorEastAsia" w:cstheme="minorBidi"/>
      <w:sz w:val="21"/>
      <w:szCs w:val="22"/>
    </w:rPr>
  </w:style>
  <w:style w:type="paragraph" w:styleId="19">
    <w:name w:val="toc 6"/>
    <w:basedOn w:val="1"/>
    <w:next w:val="1"/>
    <w:autoRedefine/>
    <w:unhideWhenUsed/>
    <w:qFormat/>
    <w:uiPriority w:val="39"/>
    <w:pPr>
      <w:ind w:left="2100" w:leftChars="1000" w:firstLine="0" w:firstLineChars="0"/>
      <w:jc w:val="both"/>
    </w:pPr>
    <w:rPr>
      <w:rFonts w:asciiTheme="minorHAnsi" w:hAnsiTheme="minorHAnsi" w:eastAsiaTheme="minorEastAsia" w:cstheme="minorBidi"/>
      <w:sz w:val="21"/>
      <w:szCs w:val="22"/>
    </w:rPr>
  </w:style>
  <w:style w:type="paragraph" w:styleId="20">
    <w:name w:val="toc 2"/>
    <w:basedOn w:val="1"/>
    <w:next w:val="1"/>
    <w:autoRedefine/>
    <w:unhideWhenUsed/>
    <w:qFormat/>
    <w:uiPriority w:val="39"/>
    <w:pPr>
      <w:ind w:left="420" w:leftChars="200" w:firstLine="0" w:firstLineChars="0"/>
      <w:jc w:val="both"/>
    </w:pPr>
    <w:rPr>
      <w:rFonts w:asciiTheme="minorHAnsi" w:hAnsiTheme="minorHAnsi" w:eastAsiaTheme="minorEastAsia" w:cstheme="minorBidi"/>
      <w:sz w:val="21"/>
      <w:szCs w:val="22"/>
    </w:rPr>
  </w:style>
  <w:style w:type="paragraph" w:styleId="21">
    <w:name w:val="toc 9"/>
    <w:basedOn w:val="1"/>
    <w:next w:val="1"/>
    <w:autoRedefine/>
    <w:unhideWhenUsed/>
    <w:qFormat/>
    <w:uiPriority w:val="39"/>
    <w:pPr>
      <w:ind w:left="3360" w:leftChars="1600" w:firstLine="0" w:firstLineChars="0"/>
      <w:jc w:val="both"/>
    </w:pPr>
    <w:rPr>
      <w:rFonts w:asciiTheme="minorHAnsi" w:hAnsiTheme="minorHAnsi" w:eastAsiaTheme="minorEastAsia" w:cstheme="minorBidi"/>
      <w:sz w:val="21"/>
      <w:szCs w:val="22"/>
    </w:rPr>
  </w:style>
  <w:style w:type="paragraph" w:styleId="22">
    <w:name w:val="Normal (Web)"/>
    <w:basedOn w:val="1"/>
    <w:autoRedefine/>
    <w:unhideWhenUsed/>
    <w:qFormat/>
    <w:uiPriority w:val="99"/>
    <w:pPr>
      <w:widowControl/>
      <w:spacing w:before="100" w:beforeAutospacing="1" w:after="100" w:afterAutospacing="1"/>
    </w:pPr>
    <w:rPr>
      <w:rFonts w:cs="宋体"/>
      <w:kern w:val="0"/>
    </w:rPr>
  </w:style>
  <w:style w:type="paragraph" w:styleId="23">
    <w:name w:val="Title"/>
    <w:basedOn w:val="1"/>
    <w:next w:val="1"/>
    <w:link w:val="50"/>
    <w:autoRedefine/>
    <w:qFormat/>
    <w:uiPriority w:val="0"/>
    <w:pPr>
      <w:spacing w:before="240" w:after="60"/>
      <w:jc w:val="center"/>
      <w:outlineLvl w:val="0"/>
    </w:pPr>
    <w:rPr>
      <w:rFonts w:asciiTheme="majorHAnsi" w:hAnsiTheme="majorHAnsi" w:eastAsiaTheme="majorEastAsia" w:cstheme="majorBidi"/>
      <w:b/>
      <w:bCs/>
      <w:sz w:val="32"/>
      <w:szCs w:val="32"/>
    </w:rPr>
  </w:style>
  <w:style w:type="table" w:styleId="25">
    <w:name w:val="Table Grid"/>
    <w:basedOn w:val="24"/>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autoRedefine/>
    <w:qFormat/>
    <w:uiPriority w:val="22"/>
    <w:rPr>
      <w:b/>
      <w:bCs/>
    </w:rPr>
  </w:style>
  <w:style w:type="character" w:styleId="28">
    <w:name w:val="page number"/>
    <w:basedOn w:val="26"/>
    <w:autoRedefine/>
    <w:qFormat/>
    <w:uiPriority w:val="0"/>
  </w:style>
  <w:style w:type="character" w:styleId="29">
    <w:name w:val="Hyperlink"/>
    <w:basedOn w:val="26"/>
    <w:autoRedefine/>
    <w:qFormat/>
    <w:uiPriority w:val="99"/>
    <w:rPr>
      <w:color w:val="0000FF"/>
      <w:u w:val="single"/>
    </w:rPr>
  </w:style>
  <w:style w:type="paragraph" w:customStyle="1" w:styleId="30">
    <w:name w:val="标题三"/>
    <w:basedOn w:val="5"/>
    <w:autoRedefine/>
    <w:qFormat/>
    <w:uiPriority w:val="0"/>
    <w:pPr>
      <w:spacing w:before="0" w:after="0" w:line="360" w:lineRule="auto"/>
      <w:ind w:firstLine="200"/>
    </w:pPr>
    <w:rPr>
      <w:sz w:val="28"/>
      <w:szCs w:val="24"/>
    </w:rPr>
  </w:style>
  <w:style w:type="paragraph" w:styleId="31">
    <w:name w:val="List Paragraph"/>
    <w:basedOn w:val="1"/>
    <w:autoRedefine/>
    <w:qFormat/>
    <w:uiPriority w:val="0"/>
    <w:pPr>
      <w:widowControl/>
      <w:adjustRightInd w:val="0"/>
      <w:snapToGrid w:val="0"/>
      <w:spacing w:after="200"/>
      <w:ind w:firstLine="420"/>
    </w:pPr>
    <w:rPr>
      <w:rFonts w:ascii="Tahoma" w:hAnsi="Tahoma" w:eastAsia="微软雅黑"/>
      <w:kern w:val="0"/>
      <w:sz w:val="22"/>
      <w:szCs w:val="20"/>
    </w:rPr>
  </w:style>
  <w:style w:type="paragraph" w:customStyle="1" w:styleId="32">
    <w:name w:val="样式 宋体 行距: 固定值 20 磅"/>
    <w:basedOn w:val="1"/>
    <w:autoRedefine/>
    <w:qFormat/>
    <w:uiPriority w:val="0"/>
    <w:pPr>
      <w:spacing w:line="360" w:lineRule="auto"/>
      <w:ind w:firstLine="200"/>
    </w:pPr>
    <w:rPr>
      <w:rFonts w:cs="宋体"/>
      <w:szCs w:val="20"/>
    </w:rPr>
  </w:style>
  <w:style w:type="paragraph" w:customStyle="1" w:styleId="33">
    <w:name w:val="Char Char Char Char"/>
    <w:basedOn w:val="1"/>
    <w:autoRedefine/>
    <w:qFormat/>
    <w:uiPriority w:val="0"/>
  </w:style>
  <w:style w:type="character" w:customStyle="1" w:styleId="34">
    <w:name w:val="正文文本 字符"/>
    <w:basedOn w:val="26"/>
    <w:link w:val="8"/>
    <w:autoRedefine/>
    <w:qFormat/>
    <w:uiPriority w:val="0"/>
    <w:rPr>
      <w:kern w:val="2"/>
      <w:sz w:val="21"/>
      <w:szCs w:val="24"/>
    </w:rPr>
  </w:style>
  <w:style w:type="paragraph" w:customStyle="1" w:styleId="35">
    <w:name w:val="Table Paragraph"/>
    <w:basedOn w:val="1"/>
    <w:autoRedefine/>
    <w:unhideWhenUsed/>
    <w:qFormat/>
    <w:uiPriority w:val="1"/>
    <w:pPr>
      <w:autoSpaceDE w:val="0"/>
      <w:autoSpaceDN w:val="0"/>
      <w:adjustRightInd w:val="0"/>
    </w:pPr>
    <w:rPr>
      <w:rFonts w:hint="eastAsia"/>
      <w:kern w:val="0"/>
      <w:szCs w:val="20"/>
    </w:rPr>
  </w:style>
  <w:style w:type="character" w:customStyle="1" w:styleId="36">
    <w:name w:val="font41"/>
    <w:basedOn w:val="26"/>
    <w:autoRedefine/>
    <w:qFormat/>
    <w:uiPriority w:val="0"/>
    <w:rPr>
      <w:rFonts w:hint="eastAsia" w:ascii="宋体" w:hAnsi="宋体" w:eastAsia="宋体"/>
      <w:color w:val="000000"/>
      <w:sz w:val="21"/>
      <w:szCs w:val="21"/>
      <w:u w:val="none"/>
    </w:rPr>
  </w:style>
  <w:style w:type="character" w:customStyle="1" w:styleId="37">
    <w:name w:val="font01"/>
    <w:basedOn w:val="26"/>
    <w:autoRedefine/>
    <w:qFormat/>
    <w:uiPriority w:val="0"/>
    <w:rPr>
      <w:rFonts w:hint="eastAsia" w:ascii="宋体" w:hAnsi="宋体" w:eastAsia="宋体"/>
      <w:color w:val="000000"/>
      <w:sz w:val="14"/>
      <w:szCs w:val="14"/>
      <w:u w:val="none"/>
    </w:rPr>
  </w:style>
  <w:style w:type="character" w:customStyle="1" w:styleId="38">
    <w:name w:val="font51"/>
    <w:basedOn w:val="26"/>
    <w:autoRedefine/>
    <w:qFormat/>
    <w:uiPriority w:val="0"/>
    <w:rPr>
      <w:rFonts w:hint="eastAsia" w:ascii="宋体" w:hAnsi="宋体" w:eastAsia="宋体"/>
      <w:color w:val="000000"/>
      <w:sz w:val="21"/>
      <w:szCs w:val="21"/>
      <w:u w:val="none"/>
    </w:rPr>
  </w:style>
  <w:style w:type="character" w:customStyle="1" w:styleId="39">
    <w:name w:val="未处理的提及1"/>
    <w:basedOn w:val="26"/>
    <w:autoRedefine/>
    <w:semiHidden/>
    <w:unhideWhenUsed/>
    <w:qFormat/>
    <w:uiPriority w:val="99"/>
    <w:rPr>
      <w:color w:val="605E5C"/>
      <w:shd w:val="clear" w:color="auto" w:fill="E1DFDD"/>
    </w:rPr>
  </w:style>
  <w:style w:type="paragraph" w:customStyle="1" w:styleId="40">
    <w:name w:val="gs2"/>
    <w:basedOn w:val="1"/>
    <w:autoRedefine/>
    <w:qFormat/>
    <w:uiPriority w:val="0"/>
    <w:pPr>
      <w:widowControl/>
      <w:spacing w:before="100" w:beforeAutospacing="1" w:after="100" w:afterAutospacing="1" w:line="454" w:lineRule="atLeast"/>
    </w:pPr>
    <w:rPr>
      <w:rFonts w:cs="宋体"/>
      <w:kern w:val="0"/>
      <w:szCs w:val="21"/>
    </w:rPr>
  </w:style>
  <w:style w:type="character" w:customStyle="1" w:styleId="41">
    <w:name w:val="未处理的提及2"/>
    <w:basedOn w:val="26"/>
    <w:autoRedefine/>
    <w:semiHidden/>
    <w:unhideWhenUsed/>
    <w:qFormat/>
    <w:uiPriority w:val="99"/>
    <w:rPr>
      <w:rFonts w:ascii="Times New Roman" w:hAnsi="Times New Roman" w:eastAsia="宋体" w:cs="Times New Roman"/>
      <w:color w:val="605E5C"/>
      <w:shd w:val="clear" w:color="auto" w:fill="E1DFDD"/>
    </w:rPr>
  </w:style>
  <w:style w:type="character" w:customStyle="1" w:styleId="42">
    <w:name w:val="font21"/>
    <w:basedOn w:val="26"/>
    <w:autoRedefine/>
    <w:qFormat/>
    <w:uiPriority w:val="0"/>
    <w:rPr>
      <w:rFonts w:hint="eastAsia" w:ascii="宋体" w:hAnsi="宋体" w:eastAsia="宋体" w:cs="Times New Roman"/>
      <w:b/>
      <w:bCs/>
      <w:color w:val="000000"/>
      <w:sz w:val="21"/>
      <w:szCs w:val="21"/>
      <w:u w:val="none"/>
    </w:rPr>
  </w:style>
  <w:style w:type="character" w:customStyle="1" w:styleId="43">
    <w:name w:val="font11"/>
    <w:basedOn w:val="26"/>
    <w:autoRedefine/>
    <w:qFormat/>
    <w:uiPriority w:val="0"/>
    <w:rPr>
      <w:rFonts w:hint="eastAsia" w:ascii="宋体" w:hAnsi="宋体" w:eastAsia="宋体" w:cs="宋体"/>
      <w:b/>
      <w:color w:val="000000"/>
      <w:sz w:val="21"/>
      <w:szCs w:val="21"/>
      <w:u w:val="none"/>
    </w:rPr>
  </w:style>
  <w:style w:type="paragraph" w:customStyle="1" w:styleId="44">
    <w:name w:val="s16"/>
    <w:basedOn w:val="1"/>
    <w:autoRedefine/>
    <w:qFormat/>
    <w:uiPriority w:val="0"/>
    <w:pPr>
      <w:widowControl/>
      <w:spacing w:before="100" w:beforeAutospacing="1" w:after="100" w:afterAutospacing="1"/>
    </w:pPr>
    <w:rPr>
      <w:rFonts w:cs="宋体"/>
      <w:kern w:val="0"/>
    </w:rPr>
  </w:style>
  <w:style w:type="character" w:customStyle="1" w:styleId="45">
    <w:name w:val="标题 2 字符"/>
    <w:basedOn w:val="26"/>
    <w:link w:val="4"/>
    <w:autoRedefine/>
    <w:qFormat/>
    <w:uiPriority w:val="0"/>
    <w:rPr>
      <w:rFonts w:ascii="宋体" w:hAnsi="宋体" w:eastAsia="宋体" w:cs="宋体"/>
      <w:b/>
      <w:bCs/>
      <w:kern w:val="0"/>
      <w:sz w:val="36"/>
      <w:szCs w:val="36"/>
    </w:rPr>
  </w:style>
  <w:style w:type="character" w:customStyle="1" w:styleId="46">
    <w:name w:val="NormalCharacter"/>
    <w:autoRedefine/>
    <w:semiHidden/>
    <w:qFormat/>
    <w:uiPriority w:val="0"/>
    <w:rPr>
      <w:rFonts w:ascii="Times New Roman" w:hAnsi="Times New Roman" w:eastAsia="宋体" w:cs="Times New Roman"/>
    </w:rPr>
  </w:style>
  <w:style w:type="paragraph" w:customStyle="1" w:styleId="47">
    <w:name w:val="PlainText"/>
    <w:basedOn w:val="1"/>
    <w:autoRedefine/>
    <w:qFormat/>
    <w:uiPriority w:val="0"/>
    <w:rPr>
      <w:rFonts w:hAnsi="Courier New"/>
      <w:szCs w:val="20"/>
    </w:rPr>
  </w:style>
  <w:style w:type="character" w:customStyle="1" w:styleId="48">
    <w:name w:val="@标题1级 Char"/>
    <w:link w:val="49"/>
    <w:autoRedefine/>
    <w:qFormat/>
    <w:locked/>
    <w:uiPriority w:val="99"/>
    <w:rPr>
      <w:rFonts w:ascii="黑体" w:hAnsi="黑体" w:eastAsia="黑体" w:cs="Times New Roman"/>
      <w:kern w:val="0"/>
      <w:sz w:val="36"/>
      <w:szCs w:val="20"/>
    </w:rPr>
  </w:style>
  <w:style w:type="paragraph" w:customStyle="1" w:styleId="49">
    <w:name w:val="@标题1级"/>
    <w:basedOn w:val="23"/>
    <w:link w:val="48"/>
    <w:autoRedefine/>
    <w:qFormat/>
    <w:uiPriority w:val="99"/>
    <w:rPr>
      <w:rFonts w:ascii="黑体" w:hAnsi="黑体" w:eastAsia="黑体" w:cs="Times New Roman"/>
      <w:bCs w:val="0"/>
      <w:kern w:val="0"/>
      <w:sz w:val="36"/>
      <w:szCs w:val="20"/>
    </w:rPr>
  </w:style>
  <w:style w:type="character" w:customStyle="1" w:styleId="50">
    <w:name w:val="标题 字符"/>
    <w:basedOn w:val="26"/>
    <w:link w:val="23"/>
    <w:autoRedefine/>
    <w:qFormat/>
    <w:uiPriority w:val="0"/>
    <w:rPr>
      <w:rFonts w:asciiTheme="majorHAnsi" w:hAnsiTheme="majorHAnsi" w:eastAsiaTheme="majorEastAsia" w:cstheme="majorBidi"/>
      <w:b/>
      <w:bCs/>
      <w:sz w:val="32"/>
      <w:szCs w:val="32"/>
    </w:rPr>
  </w:style>
  <w:style w:type="character" w:customStyle="1" w:styleId="51">
    <w:name w:val="font61"/>
    <w:basedOn w:val="26"/>
    <w:autoRedefine/>
    <w:qFormat/>
    <w:uiPriority w:val="0"/>
    <w:rPr>
      <w:rFonts w:hint="default" w:ascii="Times New Roman" w:hAnsi="Times New Roman" w:eastAsia="宋体" w:cs="Times New Roman"/>
      <w:color w:val="000000"/>
      <w:sz w:val="21"/>
      <w:szCs w:val="21"/>
      <w:u w:val="none"/>
    </w:rPr>
  </w:style>
  <w:style w:type="character" w:customStyle="1" w:styleId="52">
    <w:name w:val="font71"/>
    <w:basedOn w:val="26"/>
    <w:autoRedefine/>
    <w:qFormat/>
    <w:uiPriority w:val="0"/>
    <w:rPr>
      <w:rFonts w:hint="default" w:ascii="Times New Roman" w:hAnsi="Times New Roman" w:eastAsia="宋体" w:cs="Times New Roman"/>
      <w:b/>
      <w:color w:val="000000"/>
      <w:sz w:val="21"/>
      <w:szCs w:val="21"/>
      <w:u w:val="none"/>
    </w:rPr>
  </w:style>
  <w:style w:type="character" w:customStyle="1" w:styleId="53">
    <w:name w:val="font31"/>
    <w:basedOn w:val="26"/>
    <w:autoRedefine/>
    <w:qFormat/>
    <w:uiPriority w:val="0"/>
    <w:rPr>
      <w:rFonts w:ascii="PingFang-SC-Regular" w:hAnsi="PingFang-SC-Regular" w:eastAsia="PingFang-SC-Regular" w:cs="PingFang-SC-Regular"/>
      <w:color w:val="05073B"/>
      <w:sz w:val="23"/>
      <w:szCs w:val="23"/>
      <w:u w:val="none"/>
    </w:rPr>
  </w:style>
  <w:style w:type="character" w:customStyle="1" w:styleId="54">
    <w:name w:val="页脚 字符"/>
    <w:basedOn w:val="26"/>
    <w:link w:val="15"/>
    <w:autoRedefine/>
    <w:qFormat/>
    <w:uiPriority w:val="99"/>
    <w:rPr>
      <w:rFonts w:ascii="Times New Roman" w:hAnsi="Times New Roman" w:eastAsia="宋体" w:cs="Times New Roman"/>
      <w:sz w:val="18"/>
      <w:szCs w:val="18"/>
    </w:rPr>
  </w:style>
  <w:style w:type="character" w:customStyle="1" w:styleId="55">
    <w:name w:val="未处理的提及3"/>
    <w:basedOn w:val="26"/>
    <w:autoRedefine/>
    <w:semiHidden/>
    <w:unhideWhenUsed/>
    <w:qFormat/>
    <w:uiPriority w:val="99"/>
    <w:rPr>
      <w:color w:val="605E5C"/>
      <w:shd w:val="clear" w:color="auto" w:fill="E1DFDD"/>
    </w:rPr>
  </w:style>
  <w:style w:type="paragraph" w:customStyle="1" w:styleId="56">
    <w:name w:val="TOC Heading"/>
    <w:basedOn w:val="3"/>
    <w:next w:val="1"/>
    <w:autoRedefine/>
    <w:unhideWhenUsed/>
    <w:qFormat/>
    <w:uiPriority w:val="39"/>
    <w:pPr>
      <w:keepNext/>
      <w:keepLines/>
      <w:spacing w:before="240" w:beforeAutospacing="0" w:after="0" w:afterAutospacing="0" w:line="259" w:lineRule="auto"/>
      <w:ind w:firstLine="0" w:firstLineChars="0"/>
      <w:outlineLvl w:val="9"/>
    </w:pPr>
    <w:rPr>
      <w:rFonts w:asciiTheme="majorHAnsi" w:hAnsiTheme="majorHAnsi" w:eastAsiaTheme="majorEastAsia" w:cstheme="majorBidi"/>
      <w:b w:val="0"/>
      <w:bCs w:val="0"/>
      <w:color w:val="376092"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A65CDDE-F105-4A64-9759-1B97EC34DC73}">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12</Pages>
  <Words>17530</Words>
  <Characters>99925</Characters>
  <Lines>832</Lines>
  <Paragraphs>234</Paragraphs>
  <TotalTime>23</TotalTime>
  <ScaleCrop>false</ScaleCrop>
  <LinksUpToDate>false</LinksUpToDate>
  <CharactersWithSpaces>117221</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2023-07-18T14:06:00Z</dcterms:created>
  <dc:creator>吴增抱</dc:creator>
  <cp:lastModifiedBy>hexiiia</cp:lastModifiedBy>
  <dcterms:modified xsi:type="dcterms:W3CDTF">2024-06-07T12:00:32Z</dcterms:modified>
  <dc:title>时尚买手与营销课程标准</dc:title>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48DBE921E4D344D18954D86D8BE131CC_13</vt:lpwstr>
  </property>
</Properties>
</file>