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after="0" w:line="240" w:lineRule="auto"/>
        <w:ind w:firstLine="617"/>
        <w:jc w:val="center"/>
        <w:rPr>
          <w:rFonts w:cs="黑体" w:asciiTheme="minorEastAsia" w:hAnsiTheme="minorEastAsia" w:eastAsiaTheme="minorEastAsia"/>
          <w:color w:val="000000" w:themeColor="text1"/>
          <w14:textFill>
            <w14:solidFill>
              <w14:schemeClr w14:val="tx1"/>
            </w14:solidFill>
          </w14:textFill>
        </w:rPr>
      </w:pPr>
      <w:bookmarkStart w:id="0" w:name="_Toc144480526"/>
      <w:r>
        <w:rPr>
          <w:rFonts w:hint="eastAsia" w:ascii="黑体" w:hAnsi="黑体" w:eastAsia="黑体" w:cs="黑体"/>
          <w:color w:val="000000" w:themeColor="text1"/>
          <w14:textFill>
            <w14:solidFill>
              <w14:schemeClr w14:val="tx1"/>
            </w14:solidFill>
          </w14:textFill>
        </w:rPr>
        <w:t>《电工技术》课程标准</w:t>
      </w:r>
      <w:bookmarkEnd w:id="0"/>
    </w:p>
    <w:p>
      <w:pPr>
        <w:spacing w:after="0" w:line="240" w:lineRule="auto"/>
        <w:ind w:firstLine="0" w:firstLineChars="0"/>
        <w:jc w:val="both"/>
        <w:rPr>
          <w:rFonts w:cs="黑体" w:asciiTheme="minorEastAsia" w:hAnsiTheme="minorEastAsia" w:eastAsiaTheme="minorEastAsia"/>
        </w:rPr>
      </w:pPr>
    </w:p>
    <w:p>
      <w:pPr>
        <w:pStyle w:val="2"/>
      </w:pPr>
    </w:p>
    <w:p>
      <w:pPr>
        <w:pStyle w:val="2"/>
      </w:pPr>
    </w:p>
    <w:p>
      <w:pPr>
        <w:spacing w:after="0" w:line="240" w:lineRule="auto"/>
        <w:ind w:firstLine="454"/>
        <w:jc w:val="both"/>
        <w:rPr>
          <w:rFonts w:asciiTheme="minorEastAsia" w:hAnsiTheme="minorEastAsia" w:eastAsiaTheme="minorEastAsia"/>
        </w:rPr>
      </w:pPr>
      <w:bookmarkStart w:id="1" w:name="_Toc144476168"/>
      <w:r>
        <w:rPr>
          <w:rFonts w:hint="eastAsia" w:asciiTheme="minorEastAsia" w:hAnsiTheme="minorEastAsia" w:eastAsiaTheme="minorEastAsia"/>
        </w:rPr>
        <w:t>一、课程信息</w:t>
      </w:r>
      <w:bookmarkEnd w:id="1"/>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课程名称：电工技术</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课程编码：</w:t>
      </w:r>
      <w:r>
        <w:rPr>
          <w:rFonts w:asciiTheme="minorEastAsia" w:hAnsiTheme="minorEastAsia" w:eastAsiaTheme="minorEastAsia"/>
        </w:rPr>
        <w:t>440406024</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适用专业：</w:t>
      </w:r>
      <w:bookmarkStart w:id="2" w:name="_Hlk165821079"/>
      <w:r>
        <w:rPr>
          <w:rFonts w:hint="eastAsia" w:asciiTheme="minorEastAsia" w:hAnsiTheme="minorEastAsia" w:eastAsiaTheme="minorEastAsia"/>
        </w:rPr>
        <w:t>建筑消防技术</w:t>
      </w:r>
      <w:bookmarkEnd w:id="2"/>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课程学时：72学时</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课程学分：4学分</w:t>
      </w:r>
    </w:p>
    <w:p>
      <w:pPr>
        <w:spacing w:after="0" w:line="240" w:lineRule="auto"/>
        <w:ind w:firstLine="454"/>
        <w:jc w:val="both"/>
        <w:rPr>
          <w:rFonts w:asciiTheme="minorEastAsia" w:hAnsiTheme="minorEastAsia" w:eastAsiaTheme="minorEastAsia"/>
        </w:rPr>
      </w:pPr>
      <w:bookmarkStart w:id="3" w:name="_Toc144476169"/>
      <w:r>
        <w:rPr>
          <w:rFonts w:hint="eastAsia" w:asciiTheme="minorEastAsia" w:hAnsiTheme="minorEastAsia" w:eastAsiaTheme="minorEastAsia"/>
        </w:rPr>
        <w:t>二、课程定位</w:t>
      </w:r>
      <w:bookmarkEnd w:id="3"/>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（一）课程性质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本课程是建筑消防技术专业</w:t>
      </w:r>
      <w:r>
        <w:rPr>
          <w:rFonts w:asciiTheme="minorEastAsia" w:hAnsiTheme="minorEastAsia" w:eastAsiaTheme="minorEastAsia"/>
        </w:rPr>
        <w:t>的必修的专业</w:t>
      </w:r>
      <w:r>
        <w:rPr>
          <w:rFonts w:hint="eastAsia" w:asciiTheme="minorEastAsia" w:hAnsiTheme="minorEastAsia" w:eastAsiaTheme="minorEastAsia"/>
        </w:rPr>
        <w:t>基础</w:t>
      </w:r>
      <w:r>
        <w:rPr>
          <w:rFonts w:asciiTheme="minorEastAsia" w:hAnsiTheme="minorEastAsia" w:eastAsiaTheme="minorEastAsia"/>
        </w:rPr>
        <w:t>课程，旨在培养学生的专业实践能力和职业素养。通过本课程的学习，学生将掌握</w:t>
      </w:r>
      <w:r>
        <w:rPr>
          <w:rFonts w:hint="eastAsia" w:asciiTheme="minorEastAsia" w:hAnsiTheme="minorEastAsia" w:eastAsiaTheme="minorEastAsia"/>
        </w:rPr>
        <w:t>电工技术</w:t>
      </w:r>
      <w:r>
        <w:rPr>
          <w:rFonts w:asciiTheme="minorEastAsia" w:hAnsiTheme="minorEastAsia" w:eastAsiaTheme="minorEastAsia"/>
        </w:rPr>
        <w:t>的基本理论、方法和技能，为未来的职业生涯打下坚实的基础。本课程在专业人才培养中占</w:t>
      </w:r>
      <w:r>
        <w:rPr>
          <w:rFonts w:hint="eastAsia" w:asciiTheme="minorEastAsia" w:hAnsiTheme="minorEastAsia" w:eastAsiaTheme="minorEastAsia"/>
          <w:lang w:val="en-US" w:eastAsia="zh-CN"/>
        </w:rPr>
        <w:t>基础</w:t>
      </w:r>
      <w:r>
        <w:rPr>
          <w:rFonts w:asciiTheme="minorEastAsia" w:hAnsiTheme="minorEastAsia" w:eastAsiaTheme="minorEastAsia"/>
        </w:rPr>
        <w:t>地位，是学生实现职业技能提升和职业素养养成的重要途径。它是连接理论知识与实践应用的桥梁，对于提高学生的实践能力和综合素质具有重要作用。本课程前置课程有</w:t>
      </w:r>
      <w:r>
        <w:rPr>
          <w:rFonts w:hint="eastAsia" w:asciiTheme="minorEastAsia" w:hAnsiTheme="minorEastAsia" w:eastAsiaTheme="minorEastAsia"/>
        </w:rPr>
        <w:t>《计算机辅助设计》《</w:t>
      </w:r>
      <w:r>
        <w:rPr>
          <w:rFonts w:hint="eastAsia" w:cs="宋体"/>
        </w:rPr>
        <w:t>电子技术</w:t>
      </w:r>
      <w:r>
        <w:rPr>
          <w:rFonts w:hint="eastAsia" w:asciiTheme="minorEastAsia" w:hAnsiTheme="minorEastAsia" w:eastAsiaTheme="minorEastAsia"/>
        </w:rPr>
        <w:t>》《</w:t>
      </w:r>
      <w:r>
        <w:rPr>
          <w:rFonts w:hint="eastAsia" w:cs="宋体"/>
        </w:rPr>
        <w:t>建筑识图与构造</w:t>
      </w:r>
      <w:r>
        <w:rPr>
          <w:rFonts w:hint="eastAsia" w:asciiTheme="minorEastAsia" w:hAnsiTheme="minorEastAsia" w:eastAsiaTheme="minorEastAsia"/>
        </w:rPr>
        <w:t>》</w:t>
      </w:r>
      <w:r>
        <w:rPr>
          <w:rFonts w:asciiTheme="minorEastAsia" w:hAnsiTheme="minorEastAsia" w:eastAsiaTheme="minorEastAsia"/>
        </w:rPr>
        <w:t>等，</w:t>
      </w:r>
      <w:r>
        <w:rPr>
          <w:rFonts w:hint="eastAsia" w:asciiTheme="minorEastAsia" w:hAnsiTheme="minorEastAsia" w:eastAsiaTheme="minorEastAsia"/>
        </w:rPr>
        <w:t>本课程后置课程有《</w:t>
      </w:r>
      <w:r>
        <w:rPr>
          <w:rFonts w:hint="eastAsia" w:cs="宋体"/>
        </w:rPr>
        <w:t>消防电气施工技术</w:t>
      </w:r>
      <w:r>
        <w:rPr>
          <w:rFonts w:hint="eastAsia" w:asciiTheme="minorEastAsia" w:hAnsiTheme="minorEastAsia" w:eastAsiaTheme="minorEastAsia"/>
        </w:rPr>
        <w:t>》《</w:t>
      </w:r>
      <w:r>
        <w:rPr>
          <w:rFonts w:hint="eastAsia" w:cs="宋体"/>
        </w:rPr>
        <w:t>消防工程造价</w:t>
      </w:r>
      <w:r>
        <w:rPr>
          <w:rFonts w:hint="eastAsia" w:asciiTheme="minorEastAsia" w:hAnsiTheme="minorEastAsia" w:eastAsiaTheme="minorEastAsia"/>
        </w:rPr>
        <w:t>》《消防管道施工技术》</w:t>
      </w:r>
      <w:r>
        <w:rPr>
          <w:rFonts w:asciiTheme="minorEastAsia" w:hAnsiTheme="minorEastAsia" w:eastAsiaTheme="minorEastAsia"/>
        </w:rPr>
        <w:t>等。通过学习本课程，可以参加相关的职业资格证书考试，</w:t>
      </w:r>
      <w:r>
        <w:rPr>
          <w:rFonts w:hint="eastAsia" w:asciiTheme="minorEastAsia" w:hAnsiTheme="minorEastAsia" w:eastAsiaTheme="minorEastAsia"/>
        </w:rPr>
        <w:t>如</w:t>
      </w:r>
      <w:bookmarkStart w:id="4" w:name="_Hlk165806639"/>
      <w:r>
        <w:rPr>
          <w:rFonts w:hint="eastAsia" w:asciiTheme="minorEastAsia" w:hAnsiTheme="minorEastAsia" w:eastAsiaTheme="minorEastAsia"/>
        </w:rPr>
        <w:t>电工证书、消防工程师、消防安全管理师</w:t>
      </w:r>
      <w:bookmarkEnd w:id="4"/>
      <w:r>
        <w:rPr>
          <w:rFonts w:hint="eastAsia" w:asciiTheme="minorEastAsia" w:hAnsiTheme="minorEastAsia" w:eastAsiaTheme="minorEastAsia"/>
        </w:rPr>
        <w:t>消、消防设施操作员证书等。</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（二）课程任务</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通过本课程的学习，了解电工技术的基本概念、分类和主要功能，为后续的学习和实践打下坚实基础。电工技术的核心任务在于培养学生掌握电工技术的基本理论和实践技能，并提升他们的项目管理能力。通过课程学习，学生需要深入学习电工技术的基本理论和原理，理解电气控制系统在建筑消防中的重要作用。此外，课程还着重培养学生的团队协作精神和沟通能力，使他们能够在多部门、多团队的协作中高效完成任务。同时，课程注重通过课程学习和实践操作，培养学生解决实际工程问题的能力，使其能够在实际工作中运用所学知识，确保电工技术系统的稳定运行。通过这门课程的学习，学生将有扎实的电工技术知识，为未来的职业生涯奠定坚实的基础，为电工技术领域的发展贡献自己的力量。</w:t>
      </w:r>
    </w:p>
    <w:p>
      <w:pPr>
        <w:spacing w:after="0" w:line="240" w:lineRule="auto"/>
        <w:ind w:firstLine="454"/>
        <w:jc w:val="both"/>
        <w:rPr>
          <w:rFonts w:asciiTheme="minorEastAsia" w:hAnsiTheme="minorEastAsia" w:eastAsiaTheme="minorEastAsia"/>
        </w:rPr>
      </w:pPr>
      <w:bookmarkStart w:id="5" w:name="_Toc144476170"/>
      <w:r>
        <w:rPr>
          <w:rFonts w:hint="eastAsia" w:asciiTheme="minorEastAsia" w:hAnsiTheme="minorEastAsia" w:eastAsiaTheme="minorEastAsia"/>
        </w:rPr>
        <w:t>三、课程设计</w:t>
      </w:r>
      <w:bookmarkEnd w:id="5"/>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（一）设计理念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课程以完成课程学习任务和培养后续课程学习能力为导向，贯彻以下教育教学理念：</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1.校企合作组织课程重构：与建筑消防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2.典型任务确定课程方案：分析建筑消防技术的典型工作任务，构建工作过程系统化课程方案。通过典型工作任务分析，形成“典型工作任务、岗位职责任务和能力目标分析”结果，以“会什么”的能力为依据选择课程内容，并按照认知能力易难顺序安排教学；</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3.理实交替实施课程教学：遵循理论联系实际的教学原则，组织理实交替的学习课堂。以教室、实训室/模拟厂房为课堂，以实践为课程学习的支撑点，教学过程与建筑消防工作过程密切结合，使学生具备一定的职业经验、实践知识以及初步理论知识；</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4.课程目标注重工作任务：建筑消防技术目标聚焦于工作任务的实际应用。学生了解建筑消防技术的核心知识，理解施工流程，并学会制定施工计划。课程强调实践技能的培养，使学生具备解决实际问题的能力。同时，注重团队协作与沟通能力的培养，以适应多部门协作的施工环境。通过课程学习，学生能够胜任建筑消防技术工作，为消防安全事业贡献力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（二）设计思路</w:t>
      </w:r>
    </w:p>
    <w:p>
      <w:pPr>
        <w:spacing w:after="0" w:line="240" w:lineRule="auto"/>
        <w:ind w:firstLine="454"/>
        <w:jc w:val="both"/>
        <w:rPr>
          <w:rFonts w:asciiTheme="minorEastAsia" w:hAnsiTheme="minorEastAsia" w:eastAsiaTheme="minorEastAsia"/>
        </w:rPr>
      </w:pPr>
      <w:bookmarkStart w:id="6" w:name="_Toc144476171"/>
      <w:r>
        <w:rPr>
          <w:rFonts w:hint="eastAsia" w:asciiTheme="minorEastAsia" w:hAnsiTheme="minorEastAsia" w:eastAsiaTheme="minorEastAsia"/>
        </w:rPr>
        <w:t>课程依据上述设计理念，按照以下设计思路组织课程教学内容：</w:t>
      </w:r>
    </w:p>
    <w:p>
      <w:pPr>
        <w:spacing w:after="0" w:line="240" w:lineRule="auto"/>
        <w:ind w:firstLine="454"/>
        <w:rPr>
          <w:rFonts w:asciiTheme="minorEastAsia" w:hAnsiTheme="minorEastAsia" w:eastAsiaTheme="minorEastAsia"/>
        </w:rPr>
      </w:pPr>
      <w:r>
        <w:rPr>
          <w:rFonts w:asciiTheme="minorEastAsia" w:hAnsiTheme="minorEastAsia" w:eastAsiaTheme="minorEastAsia"/>
        </w:rPr>
        <w:t>1.校企合作组织课程重构：与建筑消防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spacing w:after="0" w:line="240" w:lineRule="auto"/>
        <w:ind w:firstLine="454"/>
        <w:rPr>
          <w:rFonts w:asciiTheme="minorEastAsia" w:hAnsiTheme="minorEastAsia" w:eastAsiaTheme="minorEastAsia"/>
        </w:rPr>
      </w:pPr>
      <w:r>
        <w:rPr>
          <w:rFonts w:asciiTheme="minorEastAsia" w:hAnsiTheme="minorEastAsia" w:eastAsiaTheme="minorEastAsia"/>
        </w:rPr>
        <w:t>2.典型任务确定课程方案：分析建筑消防技术的典型工作任务，构建工作过程系统化课程方案。通过典型工作任务分析，形成“典型工作任务、岗位职责任务和能力目标分析”结果，以“会什么”的能力为依据选择课程内容，并按照认知能力易难顺序安排教学；</w:t>
      </w:r>
    </w:p>
    <w:p>
      <w:pPr>
        <w:spacing w:after="0" w:line="240" w:lineRule="auto"/>
        <w:ind w:firstLine="454"/>
        <w:rPr>
          <w:rFonts w:asciiTheme="minorEastAsia" w:hAnsiTheme="minorEastAsia" w:eastAsiaTheme="minorEastAsia"/>
        </w:rPr>
      </w:pPr>
      <w:r>
        <w:rPr>
          <w:rFonts w:asciiTheme="minorEastAsia" w:hAnsiTheme="minorEastAsia" w:eastAsiaTheme="minorEastAsia"/>
        </w:rPr>
        <w:t>3.理实交替实施课程教学：遵循理论联系实际的教学原则，组织理实交替的学习课堂。以教室、实训室/模拟厂房为课堂，以实践为课程学习的支撑点，教学过程与</w:t>
      </w:r>
      <w:r>
        <w:rPr>
          <w:rFonts w:hint="eastAsia" w:asciiTheme="minorEastAsia" w:hAnsiTheme="minorEastAsia" w:eastAsiaTheme="minorEastAsia"/>
        </w:rPr>
        <w:t>电工技术</w:t>
      </w:r>
    </w:p>
    <w:p>
      <w:pPr>
        <w:spacing w:after="0" w:line="240" w:lineRule="auto"/>
        <w:ind w:firstLine="0" w:firstLineChars="0"/>
        <w:rPr>
          <w:rFonts w:asciiTheme="minorEastAsia" w:hAnsiTheme="minorEastAsia" w:eastAsiaTheme="minorEastAsia"/>
        </w:rPr>
      </w:pPr>
      <w:r>
        <w:rPr>
          <w:rFonts w:asciiTheme="minorEastAsia" w:hAnsiTheme="minorEastAsia" w:eastAsiaTheme="minorEastAsia"/>
        </w:rPr>
        <w:t>工作过程密切结合，使学生具备一定的职业经验、实践知识以及初步理论知识；</w:t>
      </w:r>
    </w:p>
    <w:p>
      <w:pPr>
        <w:spacing w:after="0" w:line="240" w:lineRule="auto"/>
        <w:ind w:firstLine="454"/>
        <w:rPr>
          <w:rFonts w:asciiTheme="minorEastAsia" w:hAnsiTheme="minorEastAsia" w:eastAsiaTheme="minorEastAsia"/>
        </w:rPr>
      </w:pPr>
      <w:r>
        <w:rPr>
          <w:rFonts w:asciiTheme="minorEastAsia" w:hAnsiTheme="minorEastAsia" w:eastAsiaTheme="minorEastAsia"/>
        </w:rPr>
        <w:t>4.课程目标注重工作任务：</w:t>
      </w:r>
      <w:r>
        <w:rPr>
          <w:rFonts w:hint="eastAsia" w:asciiTheme="minorEastAsia" w:hAnsiTheme="minorEastAsia" w:eastAsiaTheme="minorEastAsia"/>
        </w:rPr>
        <w:t>电工技术</w:t>
      </w:r>
      <w:r>
        <w:rPr>
          <w:rFonts w:asciiTheme="minorEastAsia" w:hAnsiTheme="minorEastAsia" w:eastAsiaTheme="minorEastAsia"/>
        </w:rPr>
        <w:t>目标聚焦于工作任务的实际应用。学生了解</w:t>
      </w:r>
      <w:r>
        <w:rPr>
          <w:rFonts w:hint="eastAsia" w:asciiTheme="minorEastAsia" w:hAnsiTheme="minorEastAsia" w:eastAsiaTheme="minorEastAsia"/>
        </w:rPr>
        <w:t>电工技术</w:t>
      </w:r>
      <w:r>
        <w:rPr>
          <w:rFonts w:asciiTheme="minorEastAsia" w:hAnsiTheme="minorEastAsia" w:eastAsiaTheme="minorEastAsia"/>
        </w:rPr>
        <w:t>的核心知识，理解施工流程，并学会制定施工计划。课程强调实践技能的培养，使学生具备解决实际问题的能力。同时，注重团队协作与沟通能力的培养，以适应多部门协作的施工环境。通过课程学习，学生能够胜任</w:t>
      </w:r>
      <w:r>
        <w:rPr>
          <w:rFonts w:hint="eastAsia" w:asciiTheme="minorEastAsia" w:hAnsiTheme="minorEastAsia" w:eastAsiaTheme="minorEastAsia"/>
        </w:rPr>
        <w:t>电工技术</w:t>
      </w:r>
      <w:r>
        <w:rPr>
          <w:rFonts w:asciiTheme="minorEastAsia" w:hAnsiTheme="minorEastAsia" w:eastAsiaTheme="minorEastAsia"/>
        </w:rPr>
        <w:t>工作，为消防安全事业贡献力量；</w:t>
      </w:r>
    </w:p>
    <w:p>
      <w:pPr>
        <w:spacing w:after="0" w:line="240" w:lineRule="auto"/>
        <w:ind w:firstLine="454"/>
        <w:rPr>
          <w:rFonts w:asciiTheme="minorEastAsia" w:hAnsiTheme="minorEastAsia" w:eastAsiaTheme="minorEastAsia"/>
        </w:rPr>
      </w:pPr>
      <w:r>
        <w:rPr>
          <w:rFonts w:asciiTheme="minorEastAsia" w:hAnsiTheme="minorEastAsia" w:eastAsiaTheme="minor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四、课程目标</w:t>
      </w:r>
      <w:bookmarkEnd w:id="6"/>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（一）总体目标</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电工技术课程的总体目标在于培养具备专业知识和技能的人才，以高效、安全、质量可控的方式组织和电工技术过程。首先，课程致力于使学生深入理解电工技术的基本理论、技术方法和行业规范，为后续的实践活动提供坚实的理论支撑。其次，课程强调实践操作能力的培养，通过模拟实际施工场景，使学生能够熟练运用所学知识解决实际问题，提升电工技术的实践能力。此外，课程还注重培养学生的团队协作和沟通能力，以适应电工技术中多部门、多工种协同作战的特点。最后，课程的目标还包括培养学生的创新意识和持续改进的精神，以应对不断变化的施工环境和挑战。</w:t>
      </w:r>
    </w:p>
    <w:p>
      <w:pPr>
        <w:widowControl/>
        <w:shd w:val="clear" w:color="auto" w:fill="FDFDFE"/>
        <w:spacing w:after="0" w:line="240" w:lineRule="auto"/>
        <w:ind w:left="-38" w:leftChars="-17" w:firstLine="454"/>
        <w:jc w:val="both"/>
        <w:rPr>
          <w:rFonts w:asciiTheme="minorEastAsia" w:hAnsiTheme="minorEastAsia" w:eastAsiaTheme="minorEastAsia"/>
        </w:rPr>
      </w:pPr>
      <w:r>
        <w:rPr>
          <w:rFonts w:hint="eastAsia" w:asciiTheme="minorEastAsia" w:hAnsiTheme="minorEastAsia" w:eastAsiaTheme="minorEastAsia"/>
        </w:rPr>
        <w:t>（二）具体目标</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1.素质目标：通过课程学习，使学生逐渐养成以下情感、态度和价值观：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spacing w:after="0" w:line="240" w:lineRule="auto"/>
        <w:ind w:firstLine="456" w:firstLineChars="200"/>
        <w:jc w:val="both"/>
        <w:textAlignment w:val="auto"/>
        <w:rPr>
          <w:rFonts w:asciiTheme="minorEastAsia" w:hAnsiTheme="minorEastAsia" w:eastAsiaTheme="minorEastAsia"/>
        </w:rPr>
      </w:pPr>
      <w:r>
        <w:rPr>
          <w:rFonts w:hint="eastAsia" w:asciiTheme="minorEastAsia" w:hAnsiTheme="minorEastAsia" w:eastAsiaTheme="minorEastAsia"/>
        </w:rPr>
        <w:t>（1）坚定拥护中国共产党领导，在习近平新时代中国特色社会主义思想指引下，实现社会主义核心价值观，具有深厚的爱国情感和中华民族自豪感；</w:t>
      </w:r>
    </w:p>
    <w:p>
      <w:pPr>
        <w:keepNext w:val="0"/>
        <w:keepLines w:val="0"/>
        <w:pageBreakBefore w:val="0"/>
        <w:widowControl w:val="0"/>
        <w:kinsoku/>
        <w:wordWrap/>
        <w:overflowPunct/>
        <w:topLinePunct w:val="0"/>
        <w:autoSpaceDE/>
        <w:autoSpaceDN/>
        <w:bidi w:val="0"/>
        <w:adjustRightInd/>
        <w:snapToGrid/>
        <w:spacing w:after="0" w:line="240" w:lineRule="auto"/>
        <w:ind w:firstLine="456" w:firstLineChars="200"/>
        <w:jc w:val="both"/>
        <w:textAlignment w:val="auto"/>
        <w:rPr>
          <w:rFonts w:asciiTheme="minorEastAsia" w:hAnsiTheme="minorEastAsia" w:eastAsiaTheme="minorEastAsia"/>
        </w:rPr>
      </w:pPr>
      <w:r>
        <w:rPr>
          <w:rFonts w:hint="eastAsia" w:asciiTheme="minorEastAsia" w:hAnsiTheme="minorEastAsia" w:eastAsiaTheme="minorEastAsia"/>
        </w:rPr>
        <w:t>（2）崇尚宪法、遵法守纪、崇德向善、诚实守信、尊重生命、热爱劳动，履行道德准则和行为规范，具有社会责任感和社会参与意识；</w:t>
      </w:r>
    </w:p>
    <w:p>
      <w:pPr>
        <w:keepNext w:val="0"/>
        <w:keepLines w:val="0"/>
        <w:pageBreakBefore w:val="0"/>
        <w:widowControl w:val="0"/>
        <w:kinsoku/>
        <w:wordWrap/>
        <w:overflowPunct/>
        <w:topLinePunct w:val="0"/>
        <w:autoSpaceDE/>
        <w:autoSpaceDN/>
        <w:bidi w:val="0"/>
        <w:adjustRightInd/>
        <w:snapToGrid/>
        <w:spacing w:after="0" w:line="240" w:lineRule="auto"/>
        <w:ind w:firstLine="456" w:firstLineChars="200"/>
        <w:jc w:val="both"/>
        <w:textAlignment w:val="auto"/>
        <w:rPr>
          <w:rFonts w:hint="eastAsia" w:asciiTheme="minorEastAsia" w:hAnsiTheme="minorEastAsia" w:eastAsiaTheme="minorEastAsia"/>
          <w:lang w:eastAsia="zh-CN"/>
        </w:rPr>
      </w:pPr>
      <w:r>
        <w:rPr>
          <w:rFonts w:hint="eastAsia" w:asciiTheme="minorEastAsia" w:hAnsiTheme="minorEastAsia" w:eastAsiaTheme="minorEastAsia"/>
        </w:rPr>
        <w:t>（3）培养质量意识、环保意识、安全意识、信息素养、工匠精神、创新思维</w:t>
      </w:r>
      <w:r>
        <w:rPr>
          <w:rFonts w:hint="eastAsia" w:asciiTheme="minorEastAsia" w:hAnsiTheme="minorEastAsia" w:eastAsiaTheme="minorEastAsia"/>
          <w:lang w:eastAsia="zh-CN"/>
        </w:rPr>
        <w:t>；</w:t>
      </w:r>
    </w:p>
    <w:p>
      <w:pPr>
        <w:keepNext w:val="0"/>
        <w:keepLines w:val="0"/>
        <w:pageBreakBefore w:val="0"/>
        <w:widowControl w:val="0"/>
        <w:kinsoku/>
        <w:wordWrap/>
        <w:overflowPunct/>
        <w:topLinePunct w:val="0"/>
        <w:autoSpaceDE/>
        <w:autoSpaceDN/>
        <w:bidi w:val="0"/>
        <w:adjustRightInd/>
        <w:snapToGrid/>
        <w:spacing w:after="0" w:line="240" w:lineRule="auto"/>
        <w:ind w:firstLine="456" w:firstLineChars="200"/>
        <w:jc w:val="both"/>
        <w:textAlignment w:val="auto"/>
        <w:rPr>
          <w:rFonts w:hint="eastAsia" w:asciiTheme="minorEastAsia" w:hAnsiTheme="minorEastAsia" w:eastAsiaTheme="minorEastAsia"/>
          <w:lang w:eastAsia="zh-CN"/>
        </w:rPr>
      </w:pPr>
      <w:r>
        <w:rPr>
          <w:rFonts w:hint="eastAsia" w:asciiTheme="minorEastAsia" w:hAnsiTheme="minorEastAsia" w:eastAsiaTheme="minorEastAsia"/>
        </w:rPr>
        <w:t>（4）培养勇于奋斗、乐观向上</w:t>
      </w:r>
      <w:r>
        <w:rPr>
          <w:rFonts w:hint="eastAsia" w:asciiTheme="minorEastAsia" w:hAnsiTheme="minorEastAsia" w:eastAsiaTheme="minorEastAsia"/>
          <w:lang w:val="en-US" w:eastAsia="zh-CN"/>
        </w:rPr>
        <w:t>的精神</w:t>
      </w:r>
      <w:r>
        <w:rPr>
          <w:rFonts w:hint="eastAsia" w:asciiTheme="minorEastAsia" w:hAnsiTheme="minorEastAsia" w:eastAsiaTheme="minorEastAsia"/>
        </w:rPr>
        <w:t>，具有自我管理能力、职业生涯规划的意识，有较强的集体意识和团队合作精神</w:t>
      </w:r>
      <w:r>
        <w:rPr>
          <w:rFonts w:hint="eastAsia" w:asciiTheme="minorEastAsia" w:hAnsiTheme="minorEastAsia" w:eastAsiaTheme="minorEastAsia"/>
          <w:lang w:eastAsia="zh-CN"/>
        </w:rPr>
        <w:t>；</w:t>
      </w:r>
    </w:p>
    <w:p>
      <w:pPr>
        <w:pStyle w:val="2"/>
        <w:keepNext w:val="0"/>
        <w:keepLines w:val="0"/>
        <w:pageBreakBefore w:val="0"/>
        <w:widowControl w:val="0"/>
        <w:kinsoku/>
        <w:wordWrap/>
        <w:overflowPunct/>
        <w:topLinePunct w:val="0"/>
        <w:autoSpaceDE/>
        <w:autoSpaceDN/>
        <w:bidi w:val="0"/>
        <w:adjustRightInd/>
        <w:snapToGrid/>
        <w:ind w:firstLine="496" w:firstLineChars="200"/>
        <w:textAlignment w:val="auto"/>
        <w:rPr>
          <w:rFonts w:hint="eastAsia"/>
          <w:lang w:eastAsia="zh-CN"/>
        </w:rPr>
      </w:pPr>
      <w:r>
        <w:rPr>
          <w:rFonts w:hint="eastAsia"/>
          <w:lang w:eastAsia="zh-CN"/>
        </w:rPr>
        <w:t>（</w:t>
      </w:r>
      <w:r>
        <w:rPr>
          <w:rFonts w:hint="eastAsia"/>
          <w:lang w:val="en-US" w:eastAsia="zh-CN"/>
        </w:rPr>
        <w:t>5</w:t>
      </w:r>
      <w:r>
        <w:rPr>
          <w:rFonts w:hint="eastAsia"/>
          <w:lang w:eastAsia="zh-CN"/>
        </w:rPr>
        <w:t>）具有辩证思维和逻辑分析的意识和能力，科学务实的工作作风，能够理论联系实际；</w:t>
      </w:r>
    </w:p>
    <w:p>
      <w:pPr>
        <w:pStyle w:val="2"/>
        <w:keepNext w:val="0"/>
        <w:keepLines w:val="0"/>
        <w:pageBreakBefore w:val="0"/>
        <w:widowControl w:val="0"/>
        <w:kinsoku/>
        <w:wordWrap/>
        <w:overflowPunct/>
        <w:topLinePunct w:val="0"/>
        <w:autoSpaceDE/>
        <w:autoSpaceDN/>
        <w:bidi w:val="0"/>
        <w:adjustRightInd/>
        <w:snapToGrid/>
        <w:ind w:firstLine="496" w:firstLineChars="200"/>
        <w:textAlignment w:val="auto"/>
        <w:rPr>
          <w:rFonts w:hint="eastAsia"/>
          <w:lang w:eastAsia="zh-CN"/>
        </w:rPr>
      </w:pPr>
      <w:r>
        <w:rPr>
          <w:rFonts w:hint="eastAsia"/>
          <w:lang w:eastAsia="zh-CN"/>
        </w:rPr>
        <w:t>（</w:t>
      </w:r>
      <w:r>
        <w:rPr>
          <w:rFonts w:hint="eastAsia"/>
          <w:lang w:val="en-US" w:eastAsia="zh-CN"/>
        </w:rPr>
        <w:t>6</w:t>
      </w:r>
      <w:r>
        <w:rPr>
          <w:rFonts w:hint="eastAsia"/>
          <w:lang w:eastAsia="zh-CN"/>
        </w:rPr>
        <w:t>）具有工程质量意识和工作规范意识以及严谨、认真的工作态度；</w:t>
      </w:r>
    </w:p>
    <w:p>
      <w:pPr>
        <w:pStyle w:val="2"/>
        <w:keepNext w:val="0"/>
        <w:keepLines w:val="0"/>
        <w:pageBreakBefore w:val="0"/>
        <w:widowControl w:val="0"/>
        <w:kinsoku/>
        <w:wordWrap/>
        <w:overflowPunct/>
        <w:topLinePunct w:val="0"/>
        <w:autoSpaceDE/>
        <w:autoSpaceDN/>
        <w:bidi w:val="0"/>
        <w:adjustRightInd/>
        <w:snapToGrid/>
        <w:ind w:firstLine="496" w:firstLineChars="200"/>
        <w:textAlignment w:val="auto"/>
        <w:rPr>
          <w:rFonts w:hint="eastAsia"/>
          <w:lang w:eastAsia="zh-CN"/>
        </w:rPr>
      </w:pPr>
      <w:r>
        <w:rPr>
          <w:rFonts w:hint="eastAsia"/>
          <w:lang w:eastAsia="zh-CN"/>
        </w:rPr>
        <w:t>（</w:t>
      </w:r>
      <w:r>
        <w:rPr>
          <w:rFonts w:hint="eastAsia"/>
          <w:lang w:val="en-US" w:eastAsia="zh-CN"/>
        </w:rPr>
        <w:t>7</w:t>
      </w:r>
      <w:r>
        <w:rPr>
          <w:rFonts w:hint="eastAsia"/>
          <w:lang w:eastAsia="zh-CN"/>
        </w:rPr>
        <w:t>）具备吃苦耐劳、勇于创新的精神。</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2.知识目标：通过课程学习，使学生逐渐具备以下知识和认知：</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（1）能熟练应用电路变量的参考方向求功率和判定点位高低；</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（2）能利用电流源、电压源的特性和电路的定理和方法熟练分析基本直流电路；</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（3）会用正弦交流电的三要素正确描述和区分交流电的特性；</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（4）能够简单分析并解决电路功率因数的提高问题；</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（5）能够熟练分析三相对称电路的联结形式并简单计算对称负载及其他物理量；</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（6）能够用磁路的基本定律分析各类变压器的用途和运行情况；</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（7）能简单进行三相变压器的联结和维护；</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（8）能正确区分常见异步电动机的类型和用途；</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（9）能熟悉常用电机、电器的特点及有关运行性能，并能简单选择并使用；</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（10）能正确使用并维护直流电动机；</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（11）能识别和选择使用常用的各种低压电器；</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（12）懂得继电-接触器控制电路的原理并用于实践；</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rPr>
        <w:t>（13）能熟练利用常用电工仪表测量电阻、电压、电流及功率参数，分析电路故障</w:t>
      </w:r>
      <w:r>
        <w:rPr>
          <w:rFonts w:hint="eastAsia" w:asciiTheme="minorEastAsia" w:hAnsiTheme="minorEastAsia" w:eastAsiaTheme="minorEastAsia"/>
          <w:lang w:eastAsia="zh-CN"/>
        </w:rPr>
        <w:t>。</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3.能力目标：通过课程学习，使学生逐渐具备能力或技能：</w:t>
      </w:r>
    </w:p>
    <w:p>
      <w:pPr>
        <w:pStyle w:val="2"/>
        <w:ind w:firstLine="496" w:firstLineChars="200"/>
        <w:rPr>
          <w:rFonts w:hint="eastAsia" w:asciiTheme="minorEastAsia" w:hAnsiTheme="minorEastAsia" w:eastAsiaTheme="minorEastAsia"/>
        </w:rPr>
      </w:pPr>
      <w:r>
        <w:rPr>
          <w:rFonts w:hint="eastAsia" w:asciiTheme="minorEastAsia" w:hAnsiTheme="minorEastAsia" w:eastAsiaTheme="minorEastAsia"/>
        </w:rPr>
        <w:t>（1）</w:t>
      </w:r>
      <w:bookmarkStart w:id="7" w:name="_Toc144476172"/>
      <w:r>
        <w:rPr>
          <w:rFonts w:hint="eastAsia" w:asciiTheme="minorEastAsia" w:hAnsiTheme="minorEastAsia" w:eastAsiaTheme="minorEastAsia"/>
        </w:rPr>
        <w:t>能判定点位高低和电器功率的计算；</w:t>
      </w:r>
    </w:p>
    <w:p>
      <w:pPr>
        <w:pStyle w:val="2"/>
        <w:ind w:firstLine="496" w:firstLineChars="200"/>
        <w:rPr>
          <w:rFonts w:hint="eastAsia"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rPr>
        <w:t>2）能够正确熟练进行电路的串并联；</w:t>
      </w:r>
    </w:p>
    <w:p>
      <w:pPr>
        <w:pStyle w:val="2"/>
        <w:ind w:firstLine="496" w:firstLineChars="200"/>
        <w:rPr>
          <w:rFonts w:hint="eastAsia"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rPr>
        <w:t>3）能正确区分和谐振电路；</w:t>
      </w:r>
    </w:p>
    <w:p>
      <w:pPr>
        <w:pStyle w:val="2"/>
        <w:ind w:firstLine="496" w:firstLineChars="200"/>
        <w:rPr>
          <w:rFonts w:hint="eastAsia"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rPr>
        <w:t>4）能够根据应用条件正确连接三相负载；</w:t>
      </w:r>
    </w:p>
    <w:p>
      <w:pPr>
        <w:pStyle w:val="2"/>
        <w:ind w:firstLine="496" w:firstLineChars="200"/>
        <w:rPr>
          <w:rFonts w:hint="eastAsia"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rPr>
        <w:t>5）能够熟练分析三相对称电路并能简单处理常见电路问题；</w:t>
      </w:r>
    </w:p>
    <w:p>
      <w:pPr>
        <w:pStyle w:val="2"/>
        <w:ind w:firstLine="496" w:firstLineChars="200"/>
        <w:rPr>
          <w:rFonts w:hint="eastAsia"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rPr>
        <w:t>6）能够简单选择和使用各类用途的变压器；</w:t>
      </w:r>
    </w:p>
    <w:p>
      <w:pPr>
        <w:pStyle w:val="2"/>
        <w:ind w:firstLine="496" w:firstLineChars="200"/>
        <w:rPr>
          <w:rFonts w:hint="eastAsia"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rPr>
        <w:t>7）能熟悉常用电机的特性并能简单选择、使用和维护；</w:t>
      </w:r>
    </w:p>
    <w:p>
      <w:pPr>
        <w:pStyle w:val="2"/>
        <w:ind w:firstLine="496" w:firstLineChars="200"/>
        <w:rPr>
          <w:rFonts w:hint="eastAsia"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rPr>
        <w:t>8）能识别和选择使用常用的各种低压电器；</w:t>
      </w:r>
    </w:p>
    <w:p>
      <w:pPr>
        <w:pStyle w:val="2"/>
        <w:ind w:firstLine="496" w:firstLineChars="200"/>
        <w:rPr>
          <w:rFonts w:hint="eastAsia"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rPr>
        <w:t>9）会用继电-接触器控制电机的运行；</w:t>
      </w:r>
    </w:p>
    <w:p>
      <w:pPr>
        <w:pStyle w:val="2"/>
        <w:ind w:firstLine="496" w:firstLineChars="200"/>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rPr>
        <w:t>10）能熟练利用常用电工仪表</w:t>
      </w:r>
      <w:r>
        <w:rPr>
          <w:rFonts w:hint="eastAsia" w:asciiTheme="minorEastAsia" w:hAnsiTheme="minorEastAsia" w:eastAsiaTheme="minorEastAsia"/>
          <w:lang w:eastAsia="zh-CN"/>
        </w:rPr>
        <w:t>；</w:t>
      </w:r>
    </w:p>
    <w:p>
      <w:pPr>
        <w:pStyle w:val="2"/>
        <w:ind w:firstLine="496" w:firstLineChars="200"/>
      </w:pPr>
      <w:r>
        <w:rPr>
          <w:rFonts w:hint="eastAsia" w:asciiTheme="minorEastAsia" w:hAnsiTheme="minorEastAsia" w:eastAsiaTheme="minorEastAsia"/>
          <w:lang w:eastAsia="zh-CN"/>
        </w:rPr>
        <w:t>（</w:t>
      </w:r>
      <w:r>
        <w:rPr>
          <w:rFonts w:hint="eastAsia" w:asciiTheme="minorEastAsia" w:hAnsiTheme="minorEastAsia" w:eastAsiaTheme="minorEastAsia"/>
        </w:rPr>
        <w:t>11）具有安全意识，能进行用电安全防护和急救。</w:t>
      </w:r>
    </w:p>
    <w:p>
      <w:pPr>
        <w:pStyle w:val="2"/>
        <w:ind w:firstLine="496" w:firstLineChars="200"/>
        <w:rPr>
          <w:rFonts w:asciiTheme="minorEastAsia" w:hAnsiTheme="minorEastAsia" w:eastAsiaTheme="minorEastAsia"/>
        </w:rPr>
      </w:pPr>
      <w:r>
        <w:rPr>
          <w:rFonts w:hint="eastAsia" w:asciiTheme="minorEastAsia" w:hAnsiTheme="minorEastAsia" w:eastAsiaTheme="minorEastAsia"/>
        </w:rPr>
        <w:t>五、教学内容与安排</w:t>
      </w:r>
      <w:bookmarkEnd w:id="7"/>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（一）教学内容设计原则</w:t>
      </w:r>
    </w:p>
    <w:p>
      <w:pPr>
        <w:pStyle w:val="14"/>
        <w:spacing w:after="0" w:line="240" w:lineRule="auto"/>
        <w:ind w:left="0" w:firstLine="454"/>
        <w:jc w:val="both"/>
        <w:rPr>
          <w:rFonts w:asciiTheme="minorEastAsia" w:hAnsiTheme="minorEastAsia" w:eastAsiaTheme="minorEastAsia"/>
          <w:szCs w:val="24"/>
        </w:rPr>
      </w:pPr>
      <w:r>
        <w:rPr>
          <w:rFonts w:hint="eastAsia" w:asciiTheme="minorEastAsia" w:hAnsiTheme="minorEastAsia" w:eastAsiaTheme="minorEastAsia"/>
          <w:szCs w:val="24"/>
        </w:rPr>
        <w:t>依据电工技术和课程设计理念，教学内容设计贯彻以下教学原则：</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2.循序渐进原则：主张教学既要按照内容的深浅程度由易到难，又要按照学生的年龄特征由浅入深、循序渐进，因势利导，进而取得好的教学效果；</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pStyle w:val="2"/>
        <w:ind w:firstLine="496" w:firstLineChars="200"/>
      </w:pPr>
      <w:r>
        <w:t>4.教学相长原则：要求教学过程形成师生互动，相互沟通，相互影响，相互补充的信息互动，通过这种信息交流，实现共识、共享、共进。</w:t>
      </w:r>
    </w:p>
    <w:p>
      <w:pPr>
        <w:spacing w:after="0" w:line="240" w:lineRule="auto"/>
        <w:ind w:firstLine="0" w:firstLineChars="0"/>
        <w:jc w:val="both"/>
        <w:rPr>
          <w:rFonts w:asciiTheme="minorEastAsia" w:hAnsiTheme="minorEastAsia" w:eastAsiaTheme="minorEastAsia"/>
        </w:rPr>
      </w:pPr>
      <w:r>
        <w:rPr>
          <w:rFonts w:hint="eastAsia" w:asciiTheme="minorEastAsia" w:hAnsiTheme="minorEastAsia" w:eastAsiaTheme="minorEastAsia"/>
        </w:rPr>
        <w:t>（二）教学内容设计</w:t>
      </w:r>
    </w:p>
    <w:p>
      <w:pPr>
        <w:spacing w:after="0" w:line="240" w:lineRule="auto"/>
        <w:ind w:firstLine="0" w:firstLineChars="0"/>
        <w:jc w:val="both"/>
        <w:rPr>
          <w:rFonts w:asciiTheme="minorEastAsia" w:hAnsiTheme="minorEastAsia" w:eastAsiaTheme="minorEastAsia"/>
        </w:rPr>
      </w:pPr>
      <w:r>
        <w:rPr>
          <w:rFonts w:hint="eastAsia" w:asciiTheme="minorEastAsia" w:hAnsiTheme="minorEastAsia" w:eastAsiaTheme="minorEastAsia"/>
        </w:rPr>
        <w:t>依据课程教学内容设计原则，课程教学内容设计见表1。</w:t>
      </w:r>
    </w:p>
    <w:p>
      <w:pPr>
        <w:widowControl/>
        <w:spacing w:after="0" w:line="240" w:lineRule="auto"/>
        <w:ind w:firstLine="0" w:firstLineChars="0"/>
        <w:rPr>
          <w:rFonts w:asciiTheme="minorEastAsia" w:hAnsiTheme="minorEastAsia" w:eastAsiaTheme="minorEastAsia"/>
        </w:rPr>
      </w:pPr>
      <w:r>
        <w:rPr>
          <w:rFonts w:asciiTheme="minorEastAsia" w:hAnsiTheme="minorEastAsia" w:eastAsiaTheme="minorEastAsia"/>
        </w:rPr>
        <w:br w:type="page"/>
      </w:r>
    </w:p>
    <w:p>
      <w:pPr>
        <w:spacing w:after="0" w:line="240" w:lineRule="auto"/>
        <w:ind w:firstLine="454"/>
        <w:jc w:val="center"/>
        <w:rPr>
          <w:rFonts w:asciiTheme="minorEastAsia" w:hAnsiTheme="minorEastAsia" w:eastAsiaTheme="minorEastAsia"/>
        </w:rPr>
      </w:pPr>
      <w:r>
        <w:rPr>
          <w:rFonts w:hint="eastAsia" w:asciiTheme="minorEastAsia" w:hAnsiTheme="minorEastAsia" w:eastAsiaTheme="minorEastAsia"/>
        </w:rPr>
        <w:t>表1：课程教学内容设计表</w:t>
      </w:r>
    </w:p>
    <w:tbl>
      <w:tblPr>
        <w:tblStyle w:val="25"/>
        <w:tblW w:w="8991" w:type="dxa"/>
        <w:tblInd w:w="0" w:type="dxa"/>
        <w:tblLayout w:type="autofit"/>
        <w:tblCellMar>
          <w:top w:w="0" w:type="dxa"/>
          <w:left w:w="0" w:type="dxa"/>
          <w:bottom w:w="0" w:type="dxa"/>
          <w:right w:w="0" w:type="dxa"/>
        </w:tblCellMar>
      </w:tblPr>
      <w:tblGrid>
        <w:gridCol w:w="467"/>
        <w:gridCol w:w="1172"/>
        <w:gridCol w:w="1495"/>
        <w:gridCol w:w="1535"/>
        <w:gridCol w:w="1637"/>
        <w:gridCol w:w="1567"/>
        <w:gridCol w:w="559"/>
        <w:gridCol w:w="559"/>
      </w:tblGrid>
      <w:tr>
        <w:tblPrEx>
          <w:tblCellMar>
            <w:top w:w="0" w:type="dxa"/>
            <w:left w:w="0" w:type="dxa"/>
            <w:bottom w:w="0" w:type="dxa"/>
            <w:right w:w="0" w:type="dxa"/>
          </w:tblCellMar>
        </w:tblPrEx>
        <w:trPr>
          <w:trHeight w:val="420" w:hRule="atLeast"/>
          <w:tblHeader/>
        </w:trPr>
        <w:tc>
          <w:tcPr>
            <w:tcW w:w="467" w:type="dxa"/>
            <w:vMerge w:val="restart"/>
            <w:tcBorders>
              <w:top w:val="single" w:color="000000" w:sz="12"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bookmarkStart w:id="8" w:name="_Toc144476173"/>
            <w:r>
              <w:rPr>
                <w:rFonts w:hint="eastAsia"/>
                <w:b/>
                <w:bCs/>
                <w:sz w:val="21"/>
                <w:szCs w:val="21"/>
              </w:rPr>
              <w:t>序号</w:t>
            </w:r>
          </w:p>
        </w:tc>
        <w:tc>
          <w:tcPr>
            <w:tcW w:w="1172"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教学单元</w:t>
            </w:r>
          </w:p>
        </w:tc>
        <w:tc>
          <w:tcPr>
            <w:tcW w:w="1495"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教学要点</w:t>
            </w:r>
            <w:r>
              <w:rPr>
                <w:rFonts w:hint="eastAsia"/>
                <w:b/>
                <w:bCs/>
                <w:sz w:val="21"/>
                <w:szCs w:val="21"/>
              </w:rPr>
              <w:br w:type="textWrapping"/>
            </w:r>
            <w:r>
              <w:rPr>
                <w:rFonts w:hint="eastAsia"/>
                <w:b/>
                <w:bCs/>
                <w:sz w:val="21"/>
                <w:szCs w:val="21"/>
              </w:rPr>
              <w:t>赛证要点</w:t>
            </w:r>
          </w:p>
        </w:tc>
        <w:tc>
          <w:tcPr>
            <w:tcW w:w="1535"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素质目标</w:t>
            </w:r>
          </w:p>
        </w:tc>
        <w:tc>
          <w:tcPr>
            <w:tcW w:w="1637"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知识目标</w:t>
            </w:r>
          </w:p>
        </w:tc>
        <w:tc>
          <w:tcPr>
            <w:tcW w:w="1567"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能力目标</w:t>
            </w:r>
          </w:p>
        </w:tc>
        <w:tc>
          <w:tcPr>
            <w:tcW w:w="1118" w:type="dxa"/>
            <w:gridSpan w:val="2"/>
            <w:tcBorders>
              <w:top w:val="single" w:color="000000" w:sz="12" w:space="0"/>
              <w:left w:val="single" w:color="auto" w:sz="4" w:space="0"/>
              <w:bottom w:val="single" w:color="auto" w:sz="4" w:space="0"/>
              <w:right w:val="single" w:color="000000"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学时</w:t>
            </w:r>
          </w:p>
        </w:tc>
      </w:tr>
      <w:tr>
        <w:tblPrEx>
          <w:tblCellMar>
            <w:top w:w="0" w:type="dxa"/>
            <w:left w:w="0" w:type="dxa"/>
            <w:bottom w:w="0" w:type="dxa"/>
            <w:right w:w="0" w:type="dxa"/>
          </w:tblCellMar>
        </w:tblPrEx>
        <w:trPr>
          <w:trHeight w:val="159" w:hRule="atLeast"/>
          <w:tblHead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理</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实</w:t>
            </w:r>
          </w:p>
        </w:tc>
      </w:tr>
      <w:tr>
        <w:tblPrEx>
          <w:tblCellMar>
            <w:top w:w="0" w:type="dxa"/>
            <w:left w:w="0" w:type="dxa"/>
            <w:bottom w:w="0" w:type="dxa"/>
            <w:right w:w="0" w:type="dxa"/>
          </w:tblCellMar>
        </w:tblPrEx>
        <w:trPr>
          <w:trHeight w:val="6318" w:hRule="atLeast"/>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1</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电路基础理论和分析方法</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(1)电路和电路模型</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电路变量</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电路元件模型</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基尔霍夫定律</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电位与电位的计算</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科学态度：引导学生树立科学严谨的学习态度，对待电路基础理论和分析方法的学习要有耐心和恒心，注重理论与实践相结合</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安全意识：强调电路操作中的安全注意事项，培养学生的安全意识，确保在实验和工作中严格遵守安全规范</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团队协作：鼓励学生进行小组学习和讨论，培养团队协作和沟通能力，共同解决电路学习和实践中的问题</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创新能力：激发学生的创新思维，鼓励学生在电路分析和设计中尝试新方法、新思路，提高解决问题的能力</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电路基础理论知识：掌握电路的基本概念、基本元件（如电阻、电容、电感等）的特性及参数、电路的基本定律（如欧姆定律、基尔霍夫定律等）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电路分析方法：掌握电路的基本分析方法，包括直流电路的分析（如支路电流法、节点电压法等）、交流电路的分析（如相量法、频率响应法等）</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消防电路知识：了解建筑消防系统中的电路结构、工作原理及消防设备（如火灾自动报警系统、灭火及消防联动系统等）的电路控制原理</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分析能力：通过电路基础理论的学习和分析方法的训练，使学生具备独立分析电路的能力，能够准确判断电路的工作状态、故障位置及原因</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设计能力：培养学生的电路设计能力，能够根据实际需求设计合理的电路方案，并进行电路图的绘制和仿真验证</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实践能力：通过实验和实训环节，使学生掌握电路实验的基本技能和方法，能够进行电路的连接、调试和故障排除</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应用能力：将电路基础理论和分析方法应用于建筑消防系统中，使学生能够根据消防设备的需求进行电路控制设计、安装和调试</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616" w:hRule="atLeast"/>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电路的分析方法和定理</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电路的等效变换、等效一端网络的机念</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电阻电路分析的一般方法（支路电流法、节点用法）</w:t>
            </w:r>
          </w:p>
          <w:p>
            <w:pPr>
              <w:pStyle w:val="2"/>
              <w:rPr>
                <w:sz w:val="21"/>
                <w:szCs w:val="21"/>
              </w:rPr>
            </w:pPr>
            <w:r>
              <w:rPr>
                <w:sz w:val="21"/>
                <w:szCs w:val="21"/>
              </w:rPr>
              <w:t>(</w:t>
            </w:r>
            <w:r>
              <w:rPr>
                <w:rFonts w:hint="eastAsia"/>
                <w:sz w:val="21"/>
                <w:szCs w:val="21"/>
              </w:rPr>
              <w:t>3</w:t>
            </w:r>
            <w:r>
              <w:rPr>
                <w:sz w:val="21"/>
                <w:szCs w:val="21"/>
              </w:rPr>
              <w:t>)电路定理</w:t>
            </w:r>
            <w:r>
              <w:rPr>
                <w:rFonts w:hint="eastAsia"/>
                <w:sz w:val="21"/>
                <w:szCs w:val="21"/>
              </w:rPr>
              <w:t>（诺顿定理、最大功密传输定理）</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科学探索精神：培养学生具备科学探索精神，对电路的分析方法和定理保持好奇心和求知欲，能够主动探索电路分析的深度和广度</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安全意识：在教授电路分析方法和定理时，始终强调安全意识，确保学生在实验和实践中遵循安全规范，预防电气事故的发生</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逻辑思维：通过电路分析方法和定理的学习，锻炼学生的逻辑思维能力，使其能够系统地分析和解决问题</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团队协作能力：鼓励学生在学习和实践中进行团队协作，共同解决复杂电路的分析问题，提高团队沟通和协作能力</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电路分析方法：掌握电路的基本分析方法，如节点电压法、支路电流法、回路电流法等，并能够灵活运用这些方法分析各种电路</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电路定理：了解并掌握电路的基本定理，如叠加定理、戴维南定理、诺顿定理等，理解这些定理的原理和应用条件</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消防电路知识：结合建筑消防技术，了解消防电路的特点、构成和工作原理，掌握消防电路的分析方法和应用</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分析能力：通过电路分析方法和定理的学习，使学生能够独立分析各种电路，包括线性电路、非线性电路、动态电路等，并能够准确判断电路的工作状态</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应用能力：将所学的电路分析方法和定理应用于建筑消防技术中，能够分析消防电路的工作原理、故障排查和维修等实际问题</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创新能力：在掌握基本电路分析方法和定理的基础上，鼓励学生进行创新思考，探索新的电路分析方法和应用，提高解决问题的能力</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2080" w:hRule="atLeast"/>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3</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一阶暂态电路</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稳太和暂态</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换路定理及初始值确定</w:t>
            </w:r>
          </w:p>
          <w:p>
            <w:pPr>
              <w:pStyle w:val="2"/>
            </w:pPr>
            <w:r>
              <w:rPr>
                <w:sz w:val="21"/>
                <w:szCs w:val="21"/>
              </w:rPr>
              <w:t>(3)</w:t>
            </w:r>
            <w:r>
              <w:rPr>
                <w:rFonts w:hint="eastAsia"/>
              </w:rPr>
              <w:t>一阶电路输人响应</w:t>
            </w:r>
          </w:p>
          <w:p>
            <w:pPr>
              <w:pStyle w:val="2"/>
              <w:rPr>
                <w:sz w:val="21"/>
                <w:szCs w:val="21"/>
              </w:rPr>
            </w:pPr>
            <w:r>
              <w:rPr>
                <w:sz w:val="21"/>
                <w:szCs w:val="21"/>
              </w:rPr>
              <w:t>(</w:t>
            </w:r>
            <w:r>
              <w:rPr>
                <w:rFonts w:hint="eastAsia"/>
                <w:sz w:val="21"/>
                <w:szCs w:val="21"/>
              </w:rPr>
              <w:t>4</w:t>
            </w:r>
            <w:r>
              <w:rPr>
                <w:sz w:val="21"/>
                <w:szCs w:val="21"/>
              </w:rPr>
              <w:t>)</w:t>
            </w:r>
            <w:r>
              <w:rPr>
                <w:rFonts w:hint="eastAsia"/>
              </w:rPr>
              <w:t>一</w:t>
            </w:r>
            <w:r>
              <w:rPr>
                <w:rFonts w:hint="eastAsia"/>
                <w:sz w:val="21"/>
                <w:szCs w:val="21"/>
              </w:rPr>
              <w:t>阶电路零状态响应</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一阶电路全响应和二要素法求解</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安全意识：培养学生对于电路操作的高度安全意识，特别是在涉及一阶暂态电路的实验和操作中，能够严格遵守安全规范，预防电气事故的发生</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科学态度：引导学生树立科学严谨的学习态度，对一阶暂态电路的分析和研究保持好奇心和求知欲，追求准确和深入的理解</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逻辑思维：通过一阶暂态电路的学习，锻炼学生的逻辑思维能力，使学生能够系统、有序地分析和解决电路问题</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团队协作能力：鼓励学生进行小组学习和讨论，共同解决一阶暂态电路中的复杂问题，培养团队协作能力</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t xml:space="preserve"> </w:t>
            </w:r>
            <w:r>
              <w:rPr>
                <w:sz w:val="21"/>
                <w:szCs w:val="21"/>
              </w:rPr>
              <w:t>(1)一阶暂态电路的基本概念：学生应深入理解一阶暂态电路的定义、组成和工作原理，包括RC和RL电路的基本特性</w:t>
            </w:r>
          </w:p>
          <w:p>
            <w:pPr>
              <w:pStyle w:val="2"/>
              <w:rPr>
                <w:sz w:val="21"/>
                <w:szCs w:val="21"/>
              </w:rPr>
            </w:pPr>
            <w:r>
              <w:rPr>
                <w:sz w:val="21"/>
                <w:szCs w:val="21"/>
              </w:rPr>
              <w:t>(2)换路定则：学生应掌握换路定则及其在暂态电路分析中的应用，了解换路瞬间电路状态的变化规律</w:t>
            </w:r>
          </w:p>
          <w:p>
            <w:pPr>
              <w:pStyle w:val="2"/>
              <w:rPr>
                <w:sz w:val="21"/>
                <w:szCs w:val="21"/>
              </w:rPr>
            </w:pPr>
            <w:r>
              <w:rPr>
                <w:sz w:val="21"/>
                <w:szCs w:val="21"/>
              </w:rPr>
              <w:t>(3)暂态过程的初始值确定：学生应学会如何根据电路在换路瞬间的状态确定暂态过程的初始值，如初始电流和初始电压</w:t>
            </w:r>
          </w:p>
          <w:p>
            <w:pPr>
              <w:pStyle w:val="2"/>
              <w:rPr>
                <w:sz w:val="21"/>
                <w:szCs w:val="21"/>
              </w:rPr>
            </w:pPr>
            <w:r>
              <w:rPr>
                <w:sz w:val="21"/>
                <w:szCs w:val="21"/>
              </w:rPr>
              <w:t>(4)零输入响应、零状态响应和全响应：学生应理解这三种响应的概念，并知道如何分析和计算它们</w:t>
            </w:r>
          </w:p>
          <w:p>
            <w:pPr>
              <w:pStyle w:val="2"/>
              <w:rPr>
                <w:sz w:val="21"/>
                <w:szCs w:val="21"/>
              </w:rPr>
            </w:pPr>
            <w:r>
              <w:rPr>
                <w:sz w:val="21"/>
                <w:szCs w:val="21"/>
              </w:rPr>
              <w:t>(5)一阶电路的暂态响应与时间常数的关系：学生应理解时间常数对一阶电路暂态响应的影响，包括其决定暂态响应的速度和形状</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分析能力：学生应能够分析一阶暂态电路的工作过程，包括电路在换路瞬间的状态变化、暂态响应的特性和规律等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计算能力：学生应能够应用电路分析方法和定理，计算一阶暂态电路的初始值、时间常数、零输入响应、零状态响应和全响应等</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应用能力：学生应能够将所学的知识和方法应用于建筑消防技术的实际问题中，如消防电路的暂态响应分析、故障排查和维修等</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创新能力：在掌握基本知识和方法的基础上，学生应具备创新思维和创新能力，能够提出新的观点和解决问题的方法</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实践能力：通过实验和实训环节，学生应能够熟练掌握电路实验的基本技能和方法</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1498" w:hRule="atLeast"/>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4</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正弦稳态电路</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正弦量的其本概念</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正弦量的表示法</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某本元件的交流分析</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正版稳态用路分析</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交流电路的频率特性</w:t>
            </w:r>
          </w:p>
          <w:p>
            <w:pPr>
              <w:pStyle w:val="2"/>
              <w:rPr>
                <w:sz w:val="21"/>
                <w:szCs w:val="21"/>
              </w:rPr>
            </w:pPr>
            <w:r>
              <w:rPr>
                <w:sz w:val="21"/>
                <w:szCs w:val="21"/>
              </w:rPr>
              <w:t>(</w:t>
            </w:r>
            <w:r>
              <w:rPr>
                <w:rFonts w:hint="eastAsia"/>
                <w:sz w:val="21"/>
                <w:szCs w:val="21"/>
              </w:rPr>
              <w:t>6</w:t>
            </w:r>
            <w:r>
              <w:rPr>
                <w:sz w:val="21"/>
                <w:szCs w:val="21"/>
              </w:rPr>
              <w:t>)</w:t>
            </w:r>
            <w:r>
              <w:rPr>
                <w:rFonts w:hint="eastAsia"/>
                <w:sz w:val="21"/>
                <w:szCs w:val="21"/>
              </w:rPr>
              <w:t>谐振电路</w:t>
            </w:r>
          </w:p>
          <w:p>
            <w:pPr>
              <w:pStyle w:val="2"/>
              <w:rPr>
                <w:sz w:val="21"/>
                <w:szCs w:val="21"/>
              </w:rPr>
            </w:pPr>
            <w:r>
              <w:rPr>
                <w:sz w:val="21"/>
                <w:szCs w:val="21"/>
              </w:rPr>
              <w:t>(</w:t>
            </w:r>
            <w:r>
              <w:rPr>
                <w:rFonts w:hint="eastAsia"/>
                <w:sz w:val="21"/>
                <w:szCs w:val="21"/>
              </w:rPr>
              <w:t>7</w:t>
            </w:r>
            <w:r>
              <w:rPr>
                <w:sz w:val="21"/>
                <w:szCs w:val="21"/>
              </w:rPr>
              <w:t>)</w:t>
            </w:r>
            <w:r>
              <w:rPr>
                <w:rFonts w:hint="eastAsia"/>
                <w:sz w:val="21"/>
                <w:szCs w:val="21"/>
              </w:rPr>
              <w:t>非正弦周期信号的频率分析</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培养严谨的科学态度：通过正弦稳态电路的学习，使学生能够形成严谨、细致的科学态度，对电路分析和计算保持高度的精确性和准确性</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提升安全意识：在正弦稳态电路的实验和操作中，学生应严格遵守安全规范，理解并遵守安全用电的原则，预防电气事故的发生</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培养创新思维：鼓励学生从多角度、多层面思考正弦稳态电路的问题，培养学生的创新思维和解决问题的能力</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增强团队协作能力：通过小组合作学习和项目实践，培养学生的团队协作能力</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理解正弦稳态电路的基本概念：学生应掌握正弦稳态电路的定义、特点以及基本组成，理解正弦稳态电路在实际电路中的应用</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掌握正弦稳态电路的分析方法：学生应学习并掌握正弦稳态电路的分析方法，如相量法、阻抗法等，并能够运用这些方法对正弦稳态电路进行分析和计算</w:t>
            </w:r>
            <w:r>
              <w:rPr>
                <w:sz w:val="21"/>
                <w:szCs w:val="21"/>
              </w:rPr>
              <w:t>(</w:t>
            </w:r>
            <w:r>
              <w:rPr>
                <w:rFonts w:hint="eastAsia"/>
                <w:sz w:val="21"/>
                <w:szCs w:val="21"/>
              </w:rPr>
              <w:t>3</w:t>
            </w:r>
            <w:r>
              <w:rPr>
                <w:sz w:val="21"/>
                <w:szCs w:val="21"/>
              </w:rPr>
              <w:t>)</w:t>
            </w:r>
            <w:r>
              <w:rPr>
                <w:rFonts w:hint="eastAsia"/>
                <w:sz w:val="21"/>
                <w:szCs w:val="21"/>
              </w:rPr>
              <w:t>了解正弦稳态电路中的元件特性：学生应了解正弦稳态电路中电阻、电感、电容等元件的特性，以及它们在电路中的作用和影响</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分析能力：学生应能够运用所学知识对正弦稳态电路进行准确的分析，理解电路的工作原理和特性，并能够预测电路的行为</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计算能力：学生应能够运用数学知识和电路分析方法对正弦稳态电路进行计算，包括电压、电流、功率等参数的计算</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实验技能：通过实验和实训环节，学生应掌握正弦稳态电路的实验技能和操作方法</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应用能力：学生应能够将所学知识应用于实际电路中，如建筑消防系统中的电气设计和电路分析等，解决实际电路中的问题</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10185" w:hRule="exact"/>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5</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三相交流电路</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三相交流电源</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三相负载的连接</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对称三相电路的计算</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不对称三相电路的计算</w:t>
            </w:r>
          </w:p>
          <w:p>
            <w:pPr>
              <w:pStyle w:val="2"/>
              <w:rPr>
                <w:sz w:val="21"/>
                <w:szCs w:val="21"/>
              </w:rPr>
            </w:pPr>
            <w:r>
              <w:rPr>
                <w:sz w:val="21"/>
                <w:szCs w:val="21"/>
              </w:rPr>
              <w:t>(</w:t>
            </w:r>
            <w:r>
              <w:rPr>
                <w:rFonts w:hint="eastAsia"/>
                <w:sz w:val="21"/>
                <w:szCs w:val="21"/>
              </w:rPr>
              <w:t>5</w:t>
            </w:r>
            <w:r>
              <w:rPr>
                <w:sz w:val="21"/>
                <w:szCs w:val="21"/>
              </w:rPr>
              <w:t>)</w:t>
            </w:r>
            <w:r>
              <w:rPr>
                <w:rFonts w:hint="eastAsia"/>
              </w:rPr>
              <w:t>三</w:t>
            </w:r>
            <w:r>
              <w:rPr>
                <w:sz w:val="21"/>
                <w:szCs w:val="21"/>
              </w:rPr>
              <w:t>相路的功</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安全意识：培养学生的安全意识，使其了解三相交流电路在建筑消防系统中的重要性，并理解错误操作可能带来的严重后果</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团队协作：鼓励学生进行团队合作，通过共同学习和解决三相交流电路中的问题，培养其团队协作能力</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职业道德：引导学生理解电工职业的道德规范，明确在建筑消防系统中电工的职责和使命，培养其职业道德素养</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三相交流电路基本概念：学生应掌握三相交流电路的基本原理，包括三相电源的定义、三相电压和电流的产生、相序的概念等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连接方式：学生应理解三相交流电路的连接方式，包括星形连接（</w:t>
            </w:r>
            <w:r>
              <w:rPr>
                <w:sz w:val="21"/>
                <w:szCs w:val="21"/>
              </w:rPr>
              <w:t>Y形）和三角形连接（△形），以及它们之间的区别和优缺点</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三相负载：学生应了解三相负载的特性和分类，包括对称三相负载和不对称三相负载，以及它们对电路性能的影响</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计算方法：学生应掌握三相交流电路的计算方法，包括对称三相电路的计算、不对称三相电路的分析等</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识图与绘图：学生能够读懂并绘制三相交流电路图，包括电源的连接方式、负载的配置等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选择与应用：学生应能够根据实际需要选择合适的三相电源和连接方式，以及合理配置三相负载</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分析与计算：学生能够进行简单的三相交流电路分析和计算，包括电压、电流、功率等参数的计算</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故障排查与维修：学生应能够进行三相交流电路的故障排查和维修，包括查找故障点、分析故障原因、进行故障修复等</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4900" w:hRule="atLeast"/>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耦合电感和理想变压器</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互感</w:t>
            </w:r>
            <w:r>
              <w:rPr>
                <w:sz w:val="21"/>
                <w:szCs w:val="21"/>
              </w:rPr>
              <w:t>及万威电压</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互感线圈的连接及去耦等效电路</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空心变压器</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理想恋乐器</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安全意识：培养学生对耦合电感和理想变压器在电路中应用的安全意识，了解其在建筑消防系统中的关键作用，以及不当操作可能带来的严重后果</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科学探究精神：激发学生对耦合电感和理想变压器原理的探究兴趣，培养其独立思考和解决问题的能力</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职业道德：引导学生理解电工职业的道德规范，强调在处理耦合电感和理想变压器相关问题时的职业操守和责任感</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基本概念：掌握耦合电感和理想变压器的基本概念、定义、工作原理和特性</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互感原理：理解互感现象，掌握同名端的定义和判别方法，以及互感系数的计算方法</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理想变压器特性：理解理想变压器的理想化条件，掌握其电压变换、电流变换、阻抗变换等基本特性</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电路分析方法：熟悉含有耦合电感和理想变压器的电路分析方法，包括电源模型等效、去耦等效、初次级等效等</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识图与绘图：能够读懂并绘制含有耦合电感和理想变压器的电路图，理解各元件之间的连接方式和相互作用</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分析与计算：能够对含有耦合电感和理想变压器的电路进行分析和计算，包括电压、电流、功率等参数的计算</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实验技能：掌握耦合电感和理想变压器的实验方法，能够正确搭建实验电路，观察实验现象，分析实验结果</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故障排查与维修：能够对含有耦合电感和理想变压器的电路进行故障排查和维修，包括查找故障点、分析故障原因、进行故障修复等</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436" w:hRule="atLeast"/>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7</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磁路与变压器</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磁路分析</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交流铁芯线圈电路</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变压器原理</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电磁铁</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(1)安全意识：培养学生的安全意识，让他们理解磁路与变压器在建筑消防系统中的重要性和安全操作的必要性</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科学探索精神：激发学生对磁路与变压器工作原理的探究兴趣，鼓励他们主动学习和解决问题</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职业道德：引导学生理解电工职业道德规范，特别是与磁路与变压器相关的安全、可靠和高效的职业要求</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(1)磁路基础知识：掌握磁路的基本概念、磁感应强度、磁通量、磁导率等基础知识</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变压器原理：理解变压器的工作原理，包括互感耦合、电压变换、电流变换和阻抗变换等基本概念</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变压器类型与结构：了解不同类型的变压器（如电源变压器、隔离变压器等）及其结构特点</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磁滞与损耗：了解磁滞现象和磁路损耗的原因及其对变压器性能的影响</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(1)识图与分析：能够读懂并分析磁路与变压器的电路图，理解其工作原理和特性</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设计与计算：能够设计简单的磁路与变压器电路，并进行相关参数的计算，如电压、电流、功率等</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实验操作：能够正确搭建磁路与变压器的实验电路，观察实验现象，分析实验结果，并撰写实验报告</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故障排查与维修：能够对磁路与变压器电路进行故障排查和维修，包括识别故障点、分析故障原因和进行故障修复</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967" w:hRule="atLeast"/>
        </w:trPr>
        <w:tc>
          <w:tcPr>
            <w:tcW w:w="467"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bookmarkStart w:id="9" w:name="_Hlk166290489"/>
            <w:r>
              <w:rPr>
                <w:rFonts w:hint="eastAsia"/>
                <w:sz w:val="21"/>
                <w:szCs w:val="21"/>
              </w:rPr>
              <w:t>8</w:t>
            </w:r>
          </w:p>
        </w:tc>
        <w:tc>
          <w:tcPr>
            <w:tcW w:w="1172"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交流电动机</w:t>
            </w:r>
          </w:p>
        </w:tc>
        <w:tc>
          <w:tcPr>
            <w:tcW w:w="149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(1)三相异步电动机的基本结构与工作原理</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三相异步电动机的电路分析</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三相异步电动机的机械特性</w:t>
            </w:r>
            <w:r>
              <w:rPr>
                <w:sz w:val="21"/>
                <w:szCs w:val="21"/>
              </w:rPr>
              <w:t>(</w:t>
            </w:r>
            <w:r>
              <w:rPr>
                <w:rFonts w:hint="eastAsia"/>
                <w:sz w:val="21"/>
                <w:szCs w:val="21"/>
              </w:rPr>
              <w:t>4</w:t>
            </w:r>
            <w:r>
              <w:rPr>
                <w:sz w:val="21"/>
                <w:szCs w:val="21"/>
              </w:rPr>
              <w:t>)</w:t>
            </w:r>
            <w:r>
              <w:rPr>
                <w:rFonts w:hint="eastAsia"/>
                <w:sz w:val="21"/>
                <w:szCs w:val="21"/>
              </w:rPr>
              <w:t>三相异步电动机的起动、制动和调速</w:t>
            </w:r>
          </w:p>
          <w:p>
            <w:pPr>
              <w:pStyle w:val="2"/>
            </w:pPr>
            <w:r>
              <w:rPr>
                <w:sz w:val="21"/>
                <w:szCs w:val="21"/>
              </w:rPr>
              <w:t>(</w:t>
            </w:r>
            <w:r>
              <w:rPr>
                <w:rFonts w:hint="eastAsia"/>
                <w:sz w:val="21"/>
                <w:szCs w:val="21"/>
              </w:rPr>
              <w:t>5</w:t>
            </w:r>
            <w:r>
              <w:rPr>
                <w:sz w:val="21"/>
                <w:szCs w:val="21"/>
              </w:rPr>
              <w:t>)</w:t>
            </w:r>
            <w:r>
              <w:rPr>
                <w:rFonts w:hint="eastAsia"/>
                <w:sz w:val="21"/>
                <w:szCs w:val="21"/>
              </w:rPr>
              <w:t>三相异步电动机的铭牌数据及选用</w:t>
            </w:r>
          </w:p>
          <w:p>
            <w:pPr>
              <w:pStyle w:val="2"/>
              <w:rPr>
                <w:sz w:val="21"/>
                <w:szCs w:val="21"/>
              </w:rPr>
            </w:pPr>
            <w:r>
              <w:rPr>
                <w:sz w:val="21"/>
                <w:szCs w:val="21"/>
              </w:rPr>
              <w:t>(</w:t>
            </w:r>
            <w:r>
              <w:rPr>
                <w:rFonts w:hint="eastAsia"/>
                <w:sz w:val="21"/>
                <w:szCs w:val="21"/>
              </w:rPr>
              <w:t>6</w:t>
            </w:r>
            <w:r>
              <w:rPr>
                <w:sz w:val="21"/>
                <w:szCs w:val="21"/>
              </w:rPr>
              <w:t>)</w:t>
            </w:r>
            <w:r>
              <w:rPr>
                <w:rFonts w:hint="eastAsia"/>
                <w:sz w:val="21"/>
                <w:szCs w:val="21"/>
              </w:rPr>
              <w:t>其化电机的简介</w:t>
            </w:r>
          </w:p>
        </w:tc>
        <w:tc>
          <w:tcPr>
            <w:tcW w:w="153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(1)安全意识：培养学生对于交流电动机在建筑消防系统中应用的安全意识，理解其工作特性和安全操作规程，确保在使用和维护过程中遵循安全规范</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环保意识：强调交流电动机在节能减方面的重要性，引导学生关注电动机的能效和环保性能，培养环保意识</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职业责任感：培养学生对自己作为电工的职业责任感，了解交流电动机在建筑消防系统中的关键作用，以及维护其正常运行的重要性</w:t>
            </w:r>
          </w:p>
        </w:tc>
        <w:tc>
          <w:tcPr>
            <w:tcW w:w="163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w:t>
            </w:r>
            <w:r>
              <w:rPr>
                <w:rFonts w:hint="eastAsia"/>
              </w:rPr>
              <w:t xml:space="preserve"> </w:t>
            </w:r>
            <w:r>
              <w:rPr>
                <w:rFonts w:hint="eastAsia"/>
                <w:sz w:val="21"/>
                <w:szCs w:val="21"/>
              </w:rPr>
              <w:t>交流电动机基本原理：掌握交流电动机的工作原理，包括电磁感应现象、旋转磁场产生、电动机转动等基本概念</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交流电动机类型与结构：了解不同类型的交流电动机（如同步电动机、异步电动机等）及其结构特点，包括定子、转子、绕组等部件的功能和结构</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电动机控制电路：掌握交流电动机的控制电路和启动、调速、制动等控制方法，了解电动机在控制系统中的作用和配合方式</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电动机维护与故障排查：了解交流电动机的维护方法和常见故障排查技巧，掌握电动机的保养和维修知识</w:t>
            </w:r>
          </w:p>
        </w:tc>
        <w:tc>
          <w:tcPr>
            <w:tcW w:w="156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(1)识图与分析：能够读懂并分析交流电动机的电路图和控制电路图，理解其工作原理和特性</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操作与维护：能够正确操作交流电动机，包括启动、停止、调速等操作，并能够进行电动机的日常维护和保养</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故障排查与修复：能够对交流电动机的常见故障进行排查和修复，包括电机不转、声音异常、温度过高等故障的诊断和处理</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综合应用能力：能够将所学知识应用于实际工程中，如选择合适的电动机、设计合理的控制电路等，并能够在实际工作中灵活运用所学知识解决实际问题</w:t>
            </w:r>
          </w:p>
        </w:tc>
        <w:tc>
          <w:tcPr>
            <w:tcW w:w="5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bookmarkEnd w:id="9"/>
      <w:tr>
        <w:tblPrEx>
          <w:tblCellMar>
            <w:top w:w="0" w:type="dxa"/>
            <w:left w:w="0" w:type="dxa"/>
            <w:bottom w:w="0" w:type="dxa"/>
            <w:right w:w="0" w:type="dxa"/>
          </w:tblCellMar>
        </w:tblPrEx>
        <w:trPr>
          <w:trHeight w:val="616" w:hRule="atLeast"/>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6660" w:hRule="atLeast"/>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6660" w:hRule="atLeast"/>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9</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可编程控制器及其应用</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可编程制器简介</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可编程控制器结构及工作原理</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梯形图编程规则与</w:t>
            </w:r>
            <w:r>
              <w:rPr>
                <w:sz w:val="21"/>
                <w:szCs w:val="21"/>
              </w:rPr>
              <w:t>PLC应用控制系统的设计流程</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基于</w:t>
            </w:r>
            <w:r>
              <w:rPr>
                <w:sz w:val="21"/>
                <w:szCs w:val="21"/>
              </w:rPr>
              <w:t xml:space="preserve"> PLC 的三相笼型异步电动机的正、反转控制232并</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基于</w:t>
            </w:r>
            <w:r>
              <w:rPr>
                <w:sz w:val="21"/>
                <w:szCs w:val="21"/>
              </w:rPr>
              <w:t>PLC的CA6140型普通车床电气控制系统的设计</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安全意识：培养学生对</w:t>
            </w:r>
            <w:r>
              <w:rPr>
                <w:sz w:val="21"/>
                <w:szCs w:val="21"/>
              </w:rPr>
              <w:t>PLC在建筑消防系统中应用的安全意识，了解PLC在控制系统中的重要作用，确保在实际操作中遵循安全规范</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创新思维：激发学生的创新思维，鼓励他们探索</w:t>
            </w:r>
            <w:r>
              <w:rPr>
                <w:sz w:val="21"/>
                <w:szCs w:val="21"/>
              </w:rPr>
              <w:t>PLC在建筑消防系统中的新应用，提高系统的智能化水平</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团队协作：培养学生的团队协作能力，让他们学会在项目中与团队成员有效沟通，共同解决问题</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(1)PLC基本原理：掌握PLC的工作原理、组成结构、输入输出接口等基本知识</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编程语言：熟悉</w:t>
            </w:r>
            <w:r>
              <w:rPr>
                <w:sz w:val="21"/>
                <w:szCs w:val="21"/>
              </w:rPr>
              <w:t>PLC的编程语言（如梯形图、指令表等），能够编写简单的PLC程序</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控制系统设计：了解</w:t>
            </w:r>
            <w:r>
              <w:rPr>
                <w:sz w:val="21"/>
                <w:szCs w:val="21"/>
              </w:rPr>
              <w:t>PLC在控制系统中的应用，包括系统设计、程序编写、调试与优化等过程</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故障诊断与排除：掌握</w:t>
            </w:r>
            <w:r>
              <w:rPr>
                <w:sz w:val="21"/>
                <w:szCs w:val="21"/>
              </w:rPr>
              <w:t>PLC的常见故障及诊断方法，能够独立进行故障排查和修复</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编程能力：能够运用</w:t>
            </w:r>
            <w:r>
              <w:rPr>
                <w:sz w:val="21"/>
                <w:szCs w:val="21"/>
              </w:rPr>
              <w:t>PLC编程语言编写控制程序，实现特定的控制功能</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实践能力：能够运用</w:t>
            </w:r>
            <w:r>
              <w:rPr>
                <w:sz w:val="21"/>
                <w:szCs w:val="21"/>
              </w:rPr>
              <w:t>PLC及相关设备进行实践操作，如安装、调试、测试等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解决问题的能力：能够分析并解决</w:t>
            </w:r>
            <w:r>
              <w:rPr>
                <w:sz w:val="21"/>
                <w:szCs w:val="21"/>
              </w:rPr>
              <w:t>PLC在应用中遇到的实际问题，如控制系统故障、程序错误等</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学习能力：具备自主学习和持续学习的能力，能够关注</w:t>
            </w:r>
            <w:r>
              <w:rPr>
                <w:sz w:val="21"/>
                <w:szCs w:val="21"/>
              </w:rPr>
              <w:t>PLC技术的最新发展，并不断更新自己的知识和技能</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377" w:hRule="atLeast"/>
        </w:trPr>
        <w:tc>
          <w:tcPr>
            <w:tcW w:w="467" w:type="dxa"/>
            <w:tcBorders>
              <w:top w:val="single" w:color="auto" w:sz="4" w:space="0"/>
              <w:left w:val="single" w:color="000000" w:sz="12"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10</w:t>
            </w:r>
          </w:p>
        </w:tc>
        <w:tc>
          <w:tcPr>
            <w:tcW w:w="1172"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合计</w:t>
            </w:r>
          </w:p>
        </w:tc>
        <w:tc>
          <w:tcPr>
            <w:tcW w:w="1495"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535"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637"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567"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55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54</w:t>
            </w:r>
          </w:p>
        </w:tc>
        <w:tc>
          <w:tcPr>
            <w:tcW w:w="559" w:type="dxa"/>
            <w:tcBorders>
              <w:top w:val="single" w:color="auto" w:sz="4" w:space="0"/>
              <w:left w:val="single" w:color="auto"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18</w:t>
            </w:r>
          </w:p>
        </w:tc>
      </w:tr>
    </w:tbl>
    <w:p>
      <w:pPr>
        <w:pStyle w:val="2"/>
      </w:pP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六、考核标准与方式设计</w:t>
      </w:r>
      <w:bookmarkEnd w:id="8"/>
    </w:p>
    <w:p>
      <w:pPr>
        <w:spacing w:after="0" w:line="240" w:lineRule="auto"/>
        <w:ind w:firstLine="454"/>
        <w:jc w:val="both"/>
        <w:rPr>
          <w:rFonts w:asciiTheme="minorEastAsia" w:hAnsiTheme="minorEastAsia" w:eastAsiaTheme="minorEastAsia"/>
        </w:rPr>
      </w:pPr>
      <w:bookmarkStart w:id="10" w:name="_Hlk140356650"/>
      <w:bookmarkStart w:id="11" w:name="_Hlk140358302"/>
      <w:r>
        <w:rPr>
          <w:rFonts w:hint="eastAsia" w:asciiTheme="minorEastAsia" w:hAnsiTheme="minorEastAsia" w:eastAsiaTheme="minorEastAsia"/>
        </w:rPr>
        <w:t>（一）考核标准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课程考核标准依据课程目标建立课程考核的“应知”“应会”体系，</w:t>
      </w:r>
      <w:bookmarkEnd w:id="10"/>
      <w:r>
        <w:rPr>
          <w:rFonts w:hint="eastAsia" w:asciiTheme="minorEastAsia" w:hAnsiTheme="minorEastAsia" w:eastAsiaTheme="minorEastAsia"/>
        </w:rPr>
        <w:t>详见表2。</w:t>
      </w:r>
    </w:p>
    <w:p>
      <w:pPr>
        <w:spacing w:after="0" w:line="240" w:lineRule="auto"/>
        <w:ind w:firstLine="454"/>
        <w:jc w:val="center"/>
        <w:rPr>
          <w:rFonts w:asciiTheme="minorEastAsia" w:hAnsiTheme="minorEastAsia" w:eastAsiaTheme="minorEastAsia"/>
        </w:rPr>
      </w:pPr>
      <w:bookmarkStart w:id="12" w:name="_Hlk140356725"/>
      <w:r>
        <w:rPr>
          <w:rFonts w:hint="eastAsia" w:asciiTheme="minorEastAsia" w:hAnsiTheme="minorEastAsia" w:eastAsiaTheme="minorEastAsia"/>
        </w:rPr>
        <w:t>表2：课程考核标准表</w:t>
      </w:r>
      <w:bookmarkEnd w:id="11"/>
      <w:bookmarkEnd w:id="12"/>
    </w:p>
    <w:tbl>
      <w:tblPr>
        <w:tblStyle w:val="25"/>
        <w:tblW w:w="9320" w:type="dxa"/>
        <w:tblInd w:w="0" w:type="dxa"/>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0" w:type="dxa"/>
          <w:bottom w:w="0" w:type="dxa"/>
          <w:right w:w="0" w:type="dxa"/>
        </w:tblCellMar>
      </w:tblPr>
      <w:tblGrid>
        <w:gridCol w:w="990"/>
        <w:gridCol w:w="1570"/>
        <w:gridCol w:w="3490"/>
        <w:gridCol w:w="3270"/>
      </w:tblGrid>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524" w:hRule="atLeast"/>
          <w:tblHeader/>
        </w:trPr>
        <w:tc>
          <w:tcPr>
            <w:tcW w:w="990" w:type="dxa"/>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序号</w:t>
            </w:r>
          </w:p>
        </w:tc>
        <w:tc>
          <w:tcPr>
            <w:tcW w:w="1570" w:type="dxa"/>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教学单元</w:t>
            </w:r>
          </w:p>
        </w:tc>
        <w:tc>
          <w:tcPr>
            <w:tcW w:w="3490" w:type="dxa"/>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应知</w:t>
            </w:r>
          </w:p>
        </w:tc>
        <w:tc>
          <w:tcPr>
            <w:tcW w:w="3270" w:type="dxa"/>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应会</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171" w:hRule="atLeast"/>
        </w:trPr>
        <w:tc>
          <w:tcPr>
            <w:tcW w:w="99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1</w:t>
            </w:r>
          </w:p>
        </w:tc>
        <w:tc>
          <w:tcPr>
            <w:tcW w:w="157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电路基础理论和分析方法</w:t>
            </w:r>
          </w:p>
        </w:tc>
        <w:tc>
          <w:tcPr>
            <w:tcW w:w="3490" w:type="dxa"/>
            <w:vMerge w:val="restart"/>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电路基本概念：电路的定义、分类（直流电路、交流电路、模拟电路、数字电路等）电路中的基本物理量，如电流、电压、电阻、电感和电容等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电路定律和定理：欧姆定律、基尔霍夫电流定律（</w:t>
            </w:r>
            <w:r>
              <w:rPr>
                <w:sz w:val="21"/>
                <w:szCs w:val="21"/>
              </w:rPr>
              <w:t>KCL）和基尔霍夫电压定律（KVL）</w:t>
            </w:r>
            <w:r>
              <w:rPr>
                <w:rFonts w:hint="eastAsia"/>
                <w:sz w:val="21"/>
                <w:szCs w:val="21"/>
              </w:rPr>
              <w:t>，戴维南定理、诺顿定理和叠加定理等电路分析中的重要定理</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交流电路分析：正弦交流电的基本概念，如频率、周期、相位和有效值</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电路分析方法：等效变换、节点电压法、网孔电流法等电路分析方法</w:t>
            </w:r>
          </w:p>
        </w:tc>
        <w:tc>
          <w:tcPr>
            <w:tcW w:w="3270" w:type="dxa"/>
            <w:vMerge w:val="restart"/>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电路图绘制：根据电路描述绘制出相应的电路图</w:t>
            </w:r>
          </w:p>
          <w:p>
            <w:pPr>
              <w:pStyle w:val="2"/>
              <w:rPr>
                <w:sz w:val="21"/>
                <w:szCs w:val="21"/>
              </w:rPr>
            </w:pPr>
            <w:r>
              <w:rPr>
                <w:rFonts w:hint="eastAsia"/>
                <w:sz w:val="21"/>
                <w:szCs w:val="21"/>
              </w:rPr>
              <w:t>电路图中的符号、标记和连接方式</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电路分析：  使用基本电路定律和定理对电路进行定性和定量分析</w:t>
            </w:r>
          </w:p>
          <w:p>
            <w:pPr>
              <w:pStyle w:val="2"/>
              <w:rPr>
                <w:sz w:val="21"/>
                <w:szCs w:val="21"/>
              </w:rPr>
            </w:pPr>
            <w:r>
              <w:rPr>
                <w:rFonts w:hint="eastAsia"/>
                <w:sz w:val="21"/>
                <w:szCs w:val="21"/>
              </w:rPr>
              <w:t>利用电路分析方法求解电路中的未知量，如电压、电流等</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实验操作：使用实验设备（如万用表、示波器等）对电路进行测量和分析</w:t>
            </w:r>
          </w:p>
          <w:p>
            <w:pPr>
              <w:pStyle w:val="2"/>
              <w:rPr>
                <w:sz w:val="21"/>
                <w:szCs w:val="21"/>
              </w:rPr>
            </w:pPr>
            <w:r>
              <w:rPr>
                <w:rFonts w:hint="eastAsia"/>
                <w:sz w:val="21"/>
                <w:szCs w:val="21"/>
              </w:rPr>
              <w:t>根据实验数据验证理论分析结果，并进行误差分析</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应用实践：将所学的电路基础理论和分析方法应用到实际工程中，如建筑消防系统的电气设计、安装和调试等</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974"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5376" w:hRule="atLeast"/>
        </w:trPr>
        <w:tc>
          <w:tcPr>
            <w:tcW w:w="99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c>
          <w:tcPr>
            <w:tcW w:w="157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电路的分析方法和定理</w:t>
            </w:r>
          </w:p>
        </w:tc>
        <w:tc>
          <w:tcPr>
            <w:tcW w:w="3490" w:type="dxa"/>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电路分析方法：支路电流法、节点电压法、网孔分析法等基本的电路分析方法</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电路定理：基尔霍夫电流定律（</w:t>
            </w:r>
            <w:r>
              <w:rPr>
                <w:sz w:val="21"/>
                <w:szCs w:val="21"/>
              </w:rPr>
              <w:t>KCL）和基尔霍夫电压定律（KVL），其在电路分析中的应用</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线性电路特性：线性电路的性质，如叠加性等，并能在电路分析中应用这些性质</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电源与负载：区分电源与负载，电源在电路中的作用以及负载对电源的影响</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电路中的耦合与解耦：电路中的耦合现象，如互感耦合，以及解耦的方法</w:t>
            </w:r>
          </w:p>
        </w:tc>
        <w:tc>
          <w:tcPr>
            <w:tcW w:w="3270" w:type="dxa"/>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电路图分析：使用基尔霍夫定律和电路定理进行电路分析，求解电路中的未知量</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等效电路变换：将复杂的电路通过等效变换简化为简单的电路进行分析；电源模型的等效变换，如电压源与电流源的等效替换</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实验技能：使用实验设备（如万用表、示波器等）对电路进行测量和分析</w:t>
            </w:r>
          </w:p>
          <w:p>
            <w:pPr>
              <w:pStyle w:val="2"/>
              <w:rPr>
                <w:sz w:val="21"/>
                <w:szCs w:val="21"/>
              </w:rPr>
            </w:pPr>
            <w:r>
              <w:rPr>
                <w:sz w:val="21"/>
                <w:szCs w:val="21"/>
              </w:rPr>
              <w:t>(4)</w:t>
            </w:r>
            <w:r>
              <w:rPr>
                <w:rFonts w:hint="eastAsia"/>
                <w:sz w:val="21"/>
                <w:szCs w:val="21"/>
              </w:rPr>
              <w:t>故障排查：根据电路图和实验结果，分析电路故障的原因和位置</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应用实践：将所学的电路分析方法和定理应用到实际工程中，如建筑消防系统的电气设计、安装和调试等</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589" w:hRule="atLeast"/>
        </w:trPr>
        <w:tc>
          <w:tcPr>
            <w:tcW w:w="99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3</w:t>
            </w:r>
          </w:p>
        </w:tc>
        <w:tc>
          <w:tcPr>
            <w:tcW w:w="157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一阶暂态电路</w:t>
            </w:r>
          </w:p>
        </w:tc>
        <w:tc>
          <w:tcPr>
            <w:tcW w:w="3490" w:type="dxa"/>
            <w:vMerge w:val="restart"/>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集成运算放大器的基本概念：集成运算放大器是由多级直接耦合放大电路组成的高增益模拟集成电路</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集成运算放大器的组成：集成运放通常由输入级、中间级（电压放大级）、输出级和偏置电路四部分组成</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集成运算放大器的工作原理：集成运放的基本原理是利用外加电压来控制电流，实现放大和运算的功能</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集成运算放大器的分类：按照功能和应用场景的不同，可以分为通用型、高精度型、高输入阻抗型、低功耗型等</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集成运算放大器的主要技术指标：</w:t>
            </w:r>
          </w:p>
          <w:p>
            <w:pPr>
              <w:pStyle w:val="2"/>
              <w:rPr>
                <w:sz w:val="21"/>
                <w:szCs w:val="21"/>
              </w:rPr>
            </w:pPr>
            <w:r>
              <w:rPr>
                <w:rFonts w:hint="eastAsia"/>
                <w:sz w:val="21"/>
                <w:szCs w:val="21"/>
              </w:rPr>
              <w:t>表征集成运算放大器性能的参数，如、输入失调电压、单位增益带宽</w:t>
            </w:r>
          </w:p>
        </w:tc>
        <w:tc>
          <w:tcPr>
            <w:tcW w:w="3270" w:type="dxa"/>
            <w:vMerge w:val="restart"/>
            <w:shd w:val="clear" w:color="auto" w:fill="auto"/>
            <w:tcMar>
              <w:top w:w="10" w:type="dxa"/>
              <w:left w:w="10" w:type="dxa"/>
              <w:right w:w="10" w:type="dxa"/>
            </w:tcMar>
            <w:vAlign w:val="center"/>
          </w:tcPr>
          <w:p>
            <w:pPr>
              <w:pStyle w:val="2"/>
              <w:rPr>
                <w:sz w:val="21"/>
                <w:szCs w:val="21"/>
              </w:rPr>
            </w:pPr>
            <w:r>
              <w:rPr>
                <w:rFonts w:hint="eastAsia"/>
                <w:sz w:val="21"/>
                <w:szCs w:val="21"/>
              </w:rPr>
              <w:t>(1)阶暂态电路的基本概念：一阶暂态电路的定义，即只含有一个储能元件（电感或电容）或可等效为一个储能元件的线性电路</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换路定律与暂态过程：换路定律，电路发生换路（如接通、断开或参数变化）时，储能元件的能量不能跃变</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一阶暂态电路的响应：明白零输入响应是仅由初始值引起的响应，零状态响应是仅由外加激励引起的响应，全响应则是两者共同作用的结果</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一阶</w:t>
            </w:r>
            <w:r>
              <w:rPr>
                <w:sz w:val="21"/>
                <w:szCs w:val="21"/>
              </w:rPr>
              <w:t>RC和RL电路：</w:t>
            </w:r>
            <w:r>
              <w:rPr>
                <w:rFonts w:hint="eastAsia"/>
                <w:sz w:val="21"/>
                <w:szCs w:val="21"/>
              </w:rPr>
              <w:t>一阶</w:t>
            </w:r>
            <w:r>
              <w:rPr>
                <w:sz w:val="21"/>
                <w:szCs w:val="21"/>
              </w:rPr>
              <w:t>RC电路和RL电路的响应分析方法，时间常数的意义和作用</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96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4</w:t>
            </w:r>
          </w:p>
        </w:tc>
        <w:tc>
          <w:tcPr>
            <w:tcW w:w="157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正弦稳态电路</w:t>
            </w:r>
          </w:p>
        </w:tc>
        <w:tc>
          <w:tcPr>
            <w:tcW w:w="3490" w:type="dxa"/>
            <w:vMerge w:val="restart"/>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正弦稳态电路的基本概念：正弦稳态电路是激励和响应都随时间按正弦规律变化的线性电路</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正弦量的基本特征：正弦量的三个基本特征：幅值（振幅、最大值）、周期</w:t>
            </w:r>
            <w:r>
              <w:rPr>
                <w:sz w:val="21"/>
                <w:szCs w:val="21"/>
              </w:rPr>
              <w:t>T或频率f或角频率ω、初相位φ</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正弦稳态电路的功率：正弦稳态电路中功率的概念，包括瞬时功率、平均功率和有效值等</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相量法：相量法的概念，知道它是用复数或向量表示正弦电压和电流的方法</w:t>
            </w:r>
          </w:p>
          <w:p>
            <w:pPr>
              <w:pStyle w:val="2"/>
              <w:rPr>
                <w:sz w:val="21"/>
                <w:szCs w:val="21"/>
              </w:rPr>
            </w:pPr>
            <w:r>
              <w:rPr>
                <w:rFonts w:hint="eastAsia"/>
                <w:sz w:val="21"/>
                <w:szCs w:val="21"/>
              </w:rPr>
              <w:t>相量法在正弦稳态电路分析中的应用，如简化计算、直观表示电压和电流之间的关系等</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阻抗与导纳：阻抗和导纳与电阻、电感和电容之间的关系，以及它们在电路分析中的作用</w:t>
            </w:r>
          </w:p>
        </w:tc>
        <w:tc>
          <w:tcPr>
            <w:tcW w:w="3270" w:type="dxa"/>
            <w:vMerge w:val="restart"/>
            <w:shd w:val="clear" w:color="auto" w:fill="auto"/>
            <w:tcMar>
              <w:top w:w="10" w:type="dxa"/>
              <w:left w:w="10" w:type="dxa"/>
              <w:right w:w="10" w:type="dxa"/>
            </w:tcMar>
            <w:vAlign w:val="center"/>
          </w:tcPr>
          <w:p>
            <w:pPr>
              <w:pStyle w:val="2"/>
              <w:rPr>
                <w:sz w:val="21"/>
                <w:szCs w:val="21"/>
              </w:rPr>
            </w:pPr>
            <w:r>
              <w:rPr>
                <w:rFonts w:hint="eastAsia"/>
                <w:sz w:val="21"/>
                <w:szCs w:val="21"/>
              </w:rPr>
              <w:t>(1)正弦稳态电路的分析：使用相量法分析正弦稳态电路，包括画出电路的相量模型、列出复系数代数方程并求解等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计算与仿真：计算正弦稳态电路中电压、电流和功率等参数的瞬时值、有效值和平均值等</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实验技能：使用实验设备（如示波器、信号源等）观察和测量正弦稳态电路的响应</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故障排查：根据正弦稳态电路的特点和实验结果，分析电路故障的原因和位置</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应用实践：将正弦稳态电路的分析方法和理论应用到实际工程中，如建筑消防系统的电气设计、安装和调试等</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595" w:hRule="atLeast"/>
        </w:trPr>
        <w:tc>
          <w:tcPr>
            <w:tcW w:w="990" w:type="dxa"/>
            <w:vMerge w:val="continue"/>
            <w:shd w:val="clear" w:color="auto" w:fill="auto"/>
            <w:tcMar>
              <w:top w:w="10" w:type="dxa"/>
              <w:left w:w="10" w:type="dxa"/>
              <w:right w:w="10" w:type="dxa"/>
            </w:tcMar>
            <w:vAlign w:val="center"/>
          </w:tcPr>
          <w:p>
            <w:pPr>
              <w:pStyle w:val="2"/>
              <w:jc w:val="center"/>
            </w:pPr>
          </w:p>
        </w:tc>
        <w:tc>
          <w:tcPr>
            <w:tcW w:w="1570" w:type="dxa"/>
            <w:vMerge w:val="continue"/>
            <w:shd w:val="clear" w:color="auto" w:fill="auto"/>
            <w:tcMar>
              <w:top w:w="10" w:type="dxa"/>
              <w:left w:w="10" w:type="dxa"/>
              <w:right w:w="10" w:type="dxa"/>
            </w:tcMar>
            <w:vAlign w:val="center"/>
          </w:tcPr>
          <w:p>
            <w:pPr>
              <w:pStyle w:val="2"/>
              <w:jc w:val="center"/>
            </w:pPr>
          </w:p>
        </w:tc>
        <w:tc>
          <w:tcPr>
            <w:tcW w:w="3490" w:type="dxa"/>
            <w:vMerge w:val="continue"/>
            <w:shd w:val="clear" w:color="auto" w:fill="auto"/>
            <w:tcMar>
              <w:top w:w="10" w:type="dxa"/>
              <w:left w:w="10" w:type="dxa"/>
              <w:right w:w="10" w:type="dxa"/>
            </w:tcMar>
            <w:vAlign w:val="center"/>
          </w:tcPr>
          <w:p>
            <w:pPr>
              <w:pStyle w:val="2"/>
            </w:pPr>
          </w:p>
        </w:tc>
        <w:tc>
          <w:tcPr>
            <w:tcW w:w="3270" w:type="dxa"/>
            <w:vMerge w:val="continue"/>
            <w:shd w:val="clear" w:color="auto" w:fill="auto"/>
            <w:tcMar>
              <w:top w:w="10" w:type="dxa"/>
              <w:left w:w="10" w:type="dxa"/>
              <w:right w:w="10" w:type="dxa"/>
            </w:tcMar>
            <w:vAlign w:val="center"/>
          </w:tcPr>
          <w:p>
            <w:pPr>
              <w:pStyle w:val="2"/>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570" w:hRule="atLeast"/>
        </w:trPr>
        <w:tc>
          <w:tcPr>
            <w:tcW w:w="99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5</w:t>
            </w:r>
          </w:p>
        </w:tc>
        <w:tc>
          <w:tcPr>
            <w:tcW w:w="157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三相交流电路</w:t>
            </w:r>
          </w:p>
        </w:tc>
        <w:tc>
          <w:tcPr>
            <w:tcW w:w="3490" w:type="dxa"/>
            <w:vMerge w:val="restart"/>
            <w:shd w:val="clear" w:color="auto" w:fill="auto"/>
            <w:tcMar>
              <w:top w:w="10" w:type="dxa"/>
              <w:left w:w="10" w:type="dxa"/>
              <w:right w:w="10" w:type="dxa"/>
            </w:tcMar>
            <w:vAlign w:val="center"/>
          </w:tcPr>
          <w:p>
            <w:pPr>
              <w:pStyle w:val="2"/>
              <w:rPr>
                <w:sz w:val="21"/>
                <w:szCs w:val="21"/>
              </w:rPr>
            </w:pPr>
            <w:r>
              <w:rPr>
                <w:rFonts w:hint="eastAsia"/>
                <w:sz w:val="21"/>
                <w:szCs w:val="21"/>
              </w:rPr>
              <w:t>(1)三相交流电的产生：电机内部有三个相差</w:t>
            </w:r>
            <w:r>
              <w:rPr>
                <w:sz w:val="21"/>
                <w:szCs w:val="21"/>
              </w:rPr>
              <w:t>120°角度的线圈，转动产生三相交流电</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相电压与线电压：</w:t>
            </w:r>
          </w:p>
          <w:p>
            <w:pPr>
              <w:pStyle w:val="2"/>
              <w:rPr>
                <w:sz w:val="21"/>
                <w:szCs w:val="21"/>
              </w:rPr>
            </w:pPr>
            <w:r>
              <w:rPr>
                <w:rFonts w:hint="eastAsia"/>
                <w:sz w:val="21"/>
                <w:szCs w:val="21"/>
              </w:rPr>
              <w:t>相电压：端线与中性线间（发电机每相绕组）的电压</w:t>
            </w:r>
          </w:p>
          <w:p>
            <w:pPr>
              <w:pStyle w:val="2"/>
              <w:rPr>
                <w:sz w:val="21"/>
                <w:szCs w:val="21"/>
              </w:rPr>
            </w:pPr>
            <w:r>
              <w:rPr>
                <w:rFonts w:hint="eastAsia"/>
                <w:sz w:val="21"/>
                <w:szCs w:val="21"/>
              </w:rPr>
              <w:t>线电压：端线与端线之间的电压</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电源联结方式：</w:t>
            </w:r>
          </w:p>
          <w:p>
            <w:pPr>
              <w:pStyle w:val="2"/>
              <w:rPr>
                <w:sz w:val="21"/>
                <w:szCs w:val="21"/>
              </w:rPr>
            </w:pPr>
            <w:r>
              <w:rPr>
                <w:rFonts w:hint="eastAsia"/>
                <w:sz w:val="21"/>
                <w:szCs w:val="21"/>
              </w:rPr>
              <w:t>星形联结（</w:t>
            </w:r>
            <w:r>
              <w:rPr>
                <w:sz w:val="21"/>
                <w:szCs w:val="21"/>
              </w:rPr>
              <w:t>Y形）：电源Y形联结时，线电压超前相应的相电压30°，三相线电压也是对称的</w:t>
            </w:r>
          </w:p>
          <w:p>
            <w:pPr>
              <w:pStyle w:val="2"/>
              <w:rPr>
                <w:sz w:val="21"/>
                <w:szCs w:val="21"/>
              </w:rPr>
            </w:pPr>
            <w:r>
              <w:rPr>
                <w:rFonts w:hint="eastAsia"/>
                <w:sz w:val="21"/>
                <w:szCs w:val="21"/>
              </w:rPr>
              <w:t>三角形联结（▲形）：电源▲形联结时线电压等于相电压</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电流概念：</w:t>
            </w:r>
          </w:p>
          <w:p>
            <w:pPr>
              <w:pStyle w:val="2"/>
              <w:rPr>
                <w:sz w:val="21"/>
                <w:szCs w:val="21"/>
              </w:rPr>
            </w:pPr>
            <w:r>
              <w:rPr>
                <w:rFonts w:hint="eastAsia"/>
                <w:sz w:val="21"/>
                <w:szCs w:val="21"/>
              </w:rPr>
              <w:t>线电流：流过端线的电流</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三相负载与中性线：</w:t>
            </w:r>
          </w:p>
          <w:p>
            <w:pPr>
              <w:pStyle w:val="2"/>
              <w:rPr>
                <w:sz w:val="21"/>
                <w:szCs w:val="21"/>
              </w:rPr>
            </w:pPr>
            <w:r>
              <w:rPr>
                <w:rFonts w:hint="eastAsia"/>
                <w:sz w:val="21"/>
                <w:szCs w:val="21"/>
              </w:rPr>
              <w:t>当三相负载对称时，中性线中没有电流，所以中性线可以不要，形成三相三线制电路</w:t>
            </w:r>
          </w:p>
          <w:p>
            <w:pPr>
              <w:pStyle w:val="2"/>
              <w:rPr>
                <w:sz w:val="21"/>
                <w:szCs w:val="21"/>
              </w:rPr>
            </w:pPr>
            <w:r>
              <w:rPr>
                <w:rFonts w:hint="eastAsia"/>
                <w:sz w:val="21"/>
                <w:szCs w:val="21"/>
              </w:rPr>
              <w:t>但当三相电流不对称时，中性线电流不等于零</w:t>
            </w:r>
          </w:p>
          <w:p>
            <w:pPr>
              <w:pStyle w:val="2"/>
              <w:rPr>
                <w:sz w:val="21"/>
                <w:szCs w:val="21"/>
              </w:rPr>
            </w:pPr>
            <w:r>
              <w:rPr>
                <w:sz w:val="21"/>
                <w:szCs w:val="21"/>
              </w:rPr>
              <w:t>(</w:t>
            </w:r>
            <w:r>
              <w:rPr>
                <w:rFonts w:hint="eastAsia"/>
                <w:sz w:val="21"/>
                <w:szCs w:val="21"/>
              </w:rPr>
              <w:t>6</w:t>
            </w:r>
            <w:r>
              <w:rPr>
                <w:sz w:val="21"/>
                <w:szCs w:val="21"/>
              </w:rPr>
              <w:t>)</w:t>
            </w:r>
            <w:r>
              <w:rPr>
                <w:rFonts w:hint="eastAsia"/>
                <w:sz w:val="21"/>
                <w:szCs w:val="21"/>
              </w:rPr>
              <w:t>三相交流电路的类型：三相四线制：包括相线</w:t>
            </w:r>
            <w:r>
              <w:rPr>
                <w:sz w:val="21"/>
                <w:szCs w:val="21"/>
              </w:rPr>
              <w:t>A、B、C，保护零线PEN，PEN线上有工作电流通过，PEN在进入用电建筑物处要做重复接地；属于TN-C接地系统</w:t>
            </w:r>
          </w:p>
        </w:tc>
        <w:tc>
          <w:tcPr>
            <w:tcW w:w="3270" w:type="dxa"/>
            <w:vMerge w:val="restart"/>
            <w:shd w:val="clear" w:color="auto" w:fill="auto"/>
            <w:tcMar>
              <w:top w:w="10" w:type="dxa"/>
              <w:left w:w="10" w:type="dxa"/>
              <w:right w:w="10" w:type="dxa"/>
            </w:tcMar>
            <w:vAlign w:val="center"/>
          </w:tcPr>
          <w:p>
            <w:pPr>
              <w:pStyle w:val="2"/>
              <w:rPr>
                <w:sz w:val="21"/>
                <w:szCs w:val="21"/>
              </w:rPr>
            </w:pPr>
            <w:r>
              <w:rPr>
                <w:rFonts w:hint="eastAsia"/>
                <w:sz w:val="21"/>
                <w:szCs w:val="21"/>
              </w:rPr>
              <w:t>(1)电路分析：分析三相交流电路的工作状态，包括电压、电流、功率等参数的计算</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电路图绘制：根据给定的参数和要求，绘制出正确的三相交流电路图，包括星形联结和三角形联结电路图</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故障排查：根据三相交流电路的特点和实验结果，分析电路故障的原因和位置，基本的故障排除方法</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实际应用：将所学的三相交流电路知识应用到实际工程中，如建筑消防系统的电气设计、安装和调试等</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18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5790" w:hRule="atLeast"/>
        </w:trPr>
        <w:tc>
          <w:tcPr>
            <w:tcW w:w="99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157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耦合电感和理想变压器</w:t>
            </w:r>
          </w:p>
        </w:tc>
        <w:tc>
          <w:tcPr>
            <w:tcW w:w="3490" w:type="dxa"/>
            <w:shd w:val="clear" w:color="auto" w:fill="auto"/>
            <w:tcMar>
              <w:top w:w="10" w:type="dxa"/>
              <w:left w:w="10" w:type="dxa"/>
              <w:right w:w="10" w:type="dxa"/>
            </w:tcMar>
            <w:vAlign w:val="center"/>
          </w:tcPr>
          <w:p>
            <w:pPr>
              <w:pStyle w:val="2"/>
              <w:rPr>
                <w:sz w:val="21"/>
                <w:szCs w:val="21"/>
              </w:rPr>
            </w:pPr>
            <w:r>
              <w:rPr>
                <w:rFonts w:hint="eastAsia"/>
                <w:sz w:val="21"/>
                <w:szCs w:val="21"/>
              </w:rPr>
              <w:t>(1)耦合电感</w:t>
            </w:r>
          </w:p>
          <w:p>
            <w:pPr>
              <w:pStyle w:val="2"/>
              <w:rPr>
                <w:sz w:val="21"/>
                <w:szCs w:val="21"/>
              </w:rPr>
            </w:pPr>
            <w:r>
              <w:rPr>
                <w:rFonts w:hint="eastAsia"/>
                <w:sz w:val="21"/>
                <w:szCs w:val="21"/>
              </w:rPr>
              <w:t>基本原理：根据电磁感应定律，当一个电感器件中通过的电流变化时，会在另一个电感器件中感应出电动势</w:t>
            </w:r>
          </w:p>
          <w:p>
            <w:pPr>
              <w:pStyle w:val="2"/>
              <w:rPr>
                <w:sz w:val="21"/>
                <w:szCs w:val="21"/>
              </w:rPr>
            </w:pPr>
            <w:r>
              <w:rPr>
                <w:rFonts w:hint="eastAsia"/>
                <w:sz w:val="21"/>
                <w:szCs w:val="21"/>
              </w:rPr>
              <w:t>耦合系数：两个线圈之间磁通的共享程度用耦合系数</w:t>
            </w:r>
            <w:r>
              <w:rPr>
                <w:sz w:val="21"/>
                <w:szCs w:val="21"/>
              </w:rPr>
              <w:t>k表示，取值范围为0-1</w:t>
            </w:r>
          </w:p>
          <w:p>
            <w:pPr>
              <w:pStyle w:val="2"/>
              <w:rPr>
                <w:sz w:val="21"/>
                <w:szCs w:val="21"/>
              </w:rPr>
            </w:pPr>
            <w:r>
              <w:rPr>
                <w:rFonts w:hint="eastAsia"/>
                <w:sz w:val="21"/>
                <w:szCs w:val="21"/>
              </w:rPr>
              <w:t>应用场景：共振电路、振荡电路等，通过调整耦合系数</w:t>
            </w:r>
            <w:r>
              <w:rPr>
                <w:sz w:val="21"/>
                <w:szCs w:val="21"/>
              </w:rPr>
              <w:t>k可以改变电路的共振频率或增强电路的振荡效果</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理想变压器</w:t>
            </w:r>
          </w:p>
          <w:p>
            <w:pPr>
              <w:pStyle w:val="2"/>
              <w:rPr>
                <w:sz w:val="21"/>
                <w:szCs w:val="21"/>
              </w:rPr>
            </w:pPr>
            <w:r>
              <w:rPr>
                <w:rFonts w:hint="eastAsia"/>
                <w:sz w:val="21"/>
                <w:szCs w:val="21"/>
              </w:rPr>
              <w:t>定义：理想变压器是一个端口的电压与另一个端口的电压成正比，且没有功率损耗的无源二端口网络</w:t>
            </w:r>
          </w:p>
          <w:p>
            <w:pPr>
              <w:pStyle w:val="2"/>
              <w:rPr>
                <w:sz w:val="21"/>
                <w:szCs w:val="21"/>
              </w:rPr>
            </w:pPr>
            <w:r>
              <w:rPr>
                <w:rFonts w:hint="eastAsia"/>
                <w:sz w:val="21"/>
                <w:szCs w:val="21"/>
              </w:rPr>
              <w:t>工作原理：利用磁感应定律，将输入电压和输出电压之间按一定的变比比例转换</w:t>
            </w:r>
          </w:p>
          <w:p>
            <w:pPr>
              <w:pStyle w:val="2"/>
              <w:rPr>
                <w:sz w:val="21"/>
                <w:szCs w:val="21"/>
              </w:rPr>
            </w:pPr>
            <w:r>
              <w:rPr>
                <w:rFonts w:hint="eastAsia"/>
                <w:sz w:val="21"/>
                <w:szCs w:val="21"/>
              </w:rPr>
              <w:t>结构组成：主要由两个线圈绕制在共同的磁芯上组成</w:t>
            </w:r>
          </w:p>
        </w:tc>
        <w:tc>
          <w:tcPr>
            <w:tcW w:w="3270" w:type="dxa"/>
            <w:shd w:val="clear" w:color="auto" w:fill="auto"/>
            <w:tcMar>
              <w:top w:w="10" w:type="dxa"/>
              <w:left w:w="10" w:type="dxa"/>
              <w:right w:w="10" w:type="dxa"/>
            </w:tcMar>
            <w:vAlign w:val="center"/>
          </w:tcPr>
          <w:p>
            <w:pPr>
              <w:pStyle w:val="2"/>
              <w:rPr>
                <w:sz w:val="21"/>
                <w:szCs w:val="21"/>
              </w:rPr>
            </w:pPr>
            <w:r>
              <w:rPr>
                <w:rFonts w:hint="eastAsia"/>
                <w:sz w:val="21"/>
                <w:szCs w:val="21"/>
              </w:rPr>
              <w:t>(1)耦合电感</w:t>
            </w:r>
          </w:p>
          <w:p>
            <w:pPr>
              <w:pStyle w:val="2"/>
              <w:rPr>
                <w:sz w:val="21"/>
                <w:szCs w:val="21"/>
              </w:rPr>
            </w:pPr>
            <w:r>
              <w:rPr>
                <w:rFonts w:hint="eastAsia"/>
                <w:sz w:val="21"/>
                <w:szCs w:val="21"/>
              </w:rPr>
              <w:t>分析方法：分析耦合电感在电路中的工作状态，包括电动势的产生、耦合系数的计算等</w:t>
            </w:r>
          </w:p>
          <w:p>
            <w:pPr>
              <w:pStyle w:val="2"/>
              <w:rPr>
                <w:sz w:val="21"/>
                <w:szCs w:val="21"/>
              </w:rPr>
            </w:pPr>
            <w:r>
              <w:rPr>
                <w:rFonts w:hint="eastAsia"/>
                <w:sz w:val="21"/>
                <w:szCs w:val="21"/>
              </w:rPr>
              <w:t>电路设计：根据实际需求，设计包含耦合电感的电路，如共振电路、振荡电路等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理想变压器</w:t>
            </w:r>
          </w:p>
          <w:p>
            <w:pPr>
              <w:pStyle w:val="2"/>
              <w:rPr>
                <w:sz w:val="21"/>
                <w:szCs w:val="21"/>
              </w:rPr>
            </w:pPr>
            <w:r>
              <w:rPr>
                <w:rFonts w:hint="eastAsia"/>
                <w:sz w:val="21"/>
                <w:szCs w:val="21"/>
              </w:rPr>
              <w:t>参数计算：根据理想变压器的特性，计算其电压变比、电流变比等参数</w:t>
            </w:r>
          </w:p>
          <w:p>
            <w:pPr>
              <w:pStyle w:val="2"/>
              <w:rPr>
                <w:sz w:val="21"/>
                <w:szCs w:val="21"/>
              </w:rPr>
            </w:pPr>
            <w:r>
              <w:rPr>
                <w:rFonts w:hint="eastAsia"/>
                <w:sz w:val="21"/>
                <w:szCs w:val="21"/>
              </w:rPr>
              <w:t>电路设计：根据实际需求，设计包含理想变压器的电路，如降压电路、功率传输电路等</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943" w:hRule="atLeast"/>
        </w:trPr>
        <w:tc>
          <w:tcPr>
            <w:tcW w:w="99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7</w:t>
            </w:r>
          </w:p>
        </w:tc>
        <w:tc>
          <w:tcPr>
            <w:tcW w:w="157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磁路与变压器</w:t>
            </w:r>
          </w:p>
        </w:tc>
        <w:tc>
          <w:tcPr>
            <w:tcW w:w="3490" w:type="dxa"/>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磁路</w:t>
            </w:r>
          </w:p>
          <w:p>
            <w:pPr>
              <w:pStyle w:val="2"/>
              <w:rPr>
                <w:sz w:val="21"/>
                <w:szCs w:val="21"/>
              </w:rPr>
            </w:pPr>
            <w:r>
              <w:rPr>
                <w:rFonts w:hint="eastAsia"/>
                <w:sz w:val="21"/>
                <w:szCs w:val="21"/>
              </w:rPr>
              <w:t>磁路概念：在电机、变压器等铁磁元件中，由铁磁材料制成的铁心构成的磁通闭合路径称为磁路</w:t>
            </w:r>
          </w:p>
          <w:p>
            <w:pPr>
              <w:pStyle w:val="2"/>
              <w:rPr>
                <w:sz w:val="21"/>
                <w:szCs w:val="21"/>
              </w:rPr>
            </w:pPr>
            <w:r>
              <w:rPr>
                <w:rFonts w:hint="eastAsia"/>
                <w:sz w:val="21"/>
                <w:szCs w:val="21"/>
              </w:rPr>
              <w:t>基本物理量：</w:t>
            </w:r>
          </w:p>
          <w:p>
            <w:pPr>
              <w:pStyle w:val="2"/>
              <w:rPr>
                <w:sz w:val="21"/>
                <w:szCs w:val="21"/>
              </w:rPr>
            </w:pPr>
            <w:r>
              <w:rPr>
                <w:rFonts w:hint="eastAsia"/>
                <w:sz w:val="21"/>
                <w:szCs w:val="21"/>
              </w:rPr>
              <w:t>磁感应强度</w:t>
            </w:r>
            <w:r>
              <w:rPr>
                <w:sz w:val="21"/>
                <w:szCs w:val="21"/>
              </w:rPr>
              <w:t>B：表示磁场内某点磁场强弱及方向的物理量，其大小与垂直于磁场方向的单位面积的磁力线数目相关</w:t>
            </w:r>
          </w:p>
          <w:p>
            <w:pPr>
              <w:pStyle w:val="2"/>
              <w:rPr>
                <w:sz w:val="21"/>
                <w:szCs w:val="21"/>
              </w:rPr>
            </w:pPr>
            <w:r>
              <w:rPr>
                <w:rFonts w:hint="eastAsia"/>
                <w:sz w:val="21"/>
                <w:szCs w:val="21"/>
              </w:rPr>
              <w:t>磁通Φ：穿过垂直于磁感应强度</w:t>
            </w:r>
            <w:r>
              <w:rPr>
                <w:sz w:val="21"/>
                <w:szCs w:val="21"/>
              </w:rPr>
              <w:t>B方向的面积S的磁力线总数，单位是韦伯(Wb)</w:t>
            </w:r>
          </w:p>
          <w:p>
            <w:pPr>
              <w:pStyle w:val="2"/>
              <w:rPr>
                <w:sz w:val="21"/>
                <w:szCs w:val="21"/>
              </w:rPr>
            </w:pPr>
            <w:r>
              <w:rPr>
                <w:rFonts w:hint="eastAsia"/>
                <w:sz w:val="21"/>
                <w:szCs w:val="21"/>
              </w:rPr>
              <w:t>磁导率μ：表示物质导磁性能的物理量，单位是亨</w:t>
            </w:r>
            <w:r>
              <w:rPr>
                <w:sz w:val="21"/>
                <w:szCs w:val="21"/>
              </w:rPr>
              <w:t>/米(H/m)</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变压器</w:t>
            </w:r>
          </w:p>
          <w:p>
            <w:pPr>
              <w:pStyle w:val="2"/>
              <w:rPr>
                <w:sz w:val="21"/>
                <w:szCs w:val="21"/>
              </w:rPr>
            </w:pPr>
            <w:r>
              <w:rPr>
                <w:rFonts w:hint="eastAsia"/>
                <w:sz w:val="21"/>
                <w:szCs w:val="21"/>
              </w:rPr>
              <w:t>工作原理：基于电磁感应原理，通过输入绕组的交变电流在铁芯中产生交变磁通，从而在输出绕组中感应出电压（或电流）</w:t>
            </w:r>
          </w:p>
          <w:p>
            <w:pPr>
              <w:pStyle w:val="2"/>
              <w:rPr>
                <w:sz w:val="21"/>
                <w:szCs w:val="21"/>
              </w:rPr>
            </w:pPr>
            <w:r>
              <w:rPr>
                <w:rFonts w:hint="eastAsia"/>
                <w:sz w:val="21"/>
                <w:szCs w:val="21"/>
              </w:rPr>
              <w:t>类型：变压器分为单相变压器和三相变压器等，根据用途不同还有特殊变压器如仪用互感器、电流互感器等</w:t>
            </w:r>
          </w:p>
          <w:p>
            <w:pPr>
              <w:pStyle w:val="2"/>
              <w:rPr>
                <w:sz w:val="21"/>
                <w:szCs w:val="21"/>
              </w:rPr>
            </w:pPr>
            <w:r>
              <w:rPr>
                <w:rFonts w:hint="eastAsia"/>
                <w:sz w:val="21"/>
                <w:szCs w:val="21"/>
              </w:rPr>
              <w:t>性能参数：变压器的性能参数包括电压变比、电流变比、阻抗变换等</w:t>
            </w:r>
          </w:p>
        </w:tc>
        <w:tc>
          <w:tcPr>
            <w:tcW w:w="3270" w:type="dxa"/>
            <w:shd w:val="clear" w:color="auto" w:fill="auto"/>
            <w:tcMar>
              <w:top w:w="10" w:type="dxa"/>
              <w:left w:w="10" w:type="dxa"/>
              <w:right w:w="10" w:type="dxa"/>
            </w:tcMar>
            <w:vAlign w:val="center"/>
          </w:tcPr>
          <w:p>
            <w:pPr>
              <w:pStyle w:val="2"/>
              <w:rPr>
                <w:sz w:val="21"/>
                <w:szCs w:val="21"/>
              </w:rPr>
            </w:pPr>
            <w:r>
              <w:rPr>
                <w:rFonts w:hint="eastAsia"/>
                <w:sz w:val="21"/>
                <w:szCs w:val="21"/>
              </w:rPr>
              <w:t>(1)磁路</w:t>
            </w:r>
          </w:p>
          <w:p>
            <w:pPr>
              <w:pStyle w:val="2"/>
              <w:rPr>
                <w:sz w:val="21"/>
                <w:szCs w:val="21"/>
              </w:rPr>
            </w:pPr>
            <w:r>
              <w:rPr>
                <w:rFonts w:hint="eastAsia"/>
                <w:sz w:val="21"/>
                <w:szCs w:val="21"/>
              </w:rPr>
              <w:t>分析方法：分析磁路中的磁场分布、磁通大小和方向等物理量。</w:t>
            </w:r>
          </w:p>
          <w:p>
            <w:pPr>
              <w:pStyle w:val="2"/>
              <w:rPr>
                <w:sz w:val="21"/>
                <w:szCs w:val="21"/>
              </w:rPr>
            </w:pPr>
            <w:r>
              <w:rPr>
                <w:rFonts w:hint="eastAsia"/>
                <w:sz w:val="21"/>
                <w:szCs w:val="21"/>
              </w:rPr>
              <w:t>磁路设计：根据实际需求，设计合理的磁路结构，以提高电机或变压器的效率和性能</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变压器</w:t>
            </w:r>
          </w:p>
          <w:p>
            <w:pPr>
              <w:pStyle w:val="2"/>
              <w:rPr>
                <w:sz w:val="21"/>
                <w:szCs w:val="21"/>
              </w:rPr>
            </w:pPr>
            <w:r>
              <w:rPr>
                <w:rFonts w:hint="eastAsia"/>
                <w:sz w:val="21"/>
                <w:szCs w:val="21"/>
              </w:rPr>
              <w:t>参数计算：计算变压器的电压变比、电流变比等参数，以满足特定的工作需求</w:t>
            </w:r>
          </w:p>
          <w:p>
            <w:pPr>
              <w:pStyle w:val="2"/>
              <w:rPr>
                <w:sz w:val="21"/>
                <w:szCs w:val="21"/>
              </w:rPr>
            </w:pPr>
            <w:r>
              <w:rPr>
                <w:rFonts w:hint="eastAsia"/>
                <w:sz w:val="21"/>
                <w:szCs w:val="21"/>
              </w:rPr>
              <w:t>选型与应用：根据电路的工作条件和要求，选择合适的变压器类型，并进行正确的安装和使用</w:t>
            </w:r>
          </w:p>
          <w:p>
            <w:pPr>
              <w:pStyle w:val="2"/>
              <w:rPr>
                <w:sz w:val="21"/>
                <w:szCs w:val="21"/>
              </w:rPr>
            </w:pPr>
            <w:r>
              <w:rPr>
                <w:rFonts w:hint="eastAsia"/>
                <w:sz w:val="21"/>
                <w:szCs w:val="21"/>
              </w:rPr>
              <w:t>故障诊断与排除：识别变压器在运行过程中可能出现的故障，并采取相应的措施进行诊断和排除</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746" w:hRule="atLeast"/>
        </w:trPr>
        <w:tc>
          <w:tcPr>
            <w:tcW w:w="99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8</w:t>
            </w:r>
          </w:p>
        </w:tc>
        <w:tc>
          <w:tcPr>
            <w:tcW w:w="157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交流电动机</w:t>
            </w:r>
          </w:p>
        </w:tc>
        <w:tc>
          <w:tcPr>
            <w:tcW w:w="3490" w:type="dxa"/>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交流电动机基本概念：交流电动机是一种将交流电能转换为机械能的设备</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组成结构：交流电动机主要由定子（静止部分）和转子（旋转部分）组成，其中定子包含绕组以产生磁场，转子则在磁场中旋转</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工作原理：基于电磁感应原理，通过定子绕组产生的旋转磁场与转子中的电流相互作用，使转子旋转</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分类：交流电动机分为同步电动机和异步电动机（感应电动机）。同步电动机转速与电源频率严格同步，而异步电动机转速则受负载和电源电压影响</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主要参数：</w:t>
            </w:r>
          </w:p>
          <w:p>
            <w:pPr>
              <w:pStyle w:val="2"/>
              <w:rPr>
                <w:sz w:val="21"/>
                <w:szCs w:val="21"/>
              </w:rPr>
            </w:pPr>
            <w:r>
              <w:rPr>
                <w:rFonts w:hint="eastAsia"/>
                <w:sz w:val="21"/>
                <w:szCs w:val="21"/>
              </w:rPr>
              <w:t>额定功率：电动机在额定工作状态下输出的最大功率</w:t>
            </w:r>
          </w:p>
          <w:p>
            <w:pPr>
              <w:pStyle w:val="2"/>
              <w:rPr>
                <w:sz w:val="21"/>
                <w:szCs w:val="21"/>
              </w:rPr>
            </w:pPr>
            <w:r>
              <w:rPr>
                <w:rFonts w:hint="eastAsia"/>
                <w:sz w:val="21"/>
                <w:szCs w:val="21"/>
              </w:rPr>
              <w:t>额定电压：电动机正常工作时所需的电压</w:t>
            </w:r>
          </w:p>
        </w:tc>
        <w:tc>
          <w:tcPr>
            <w:tcW w:w="3270" w:type="dxa"/>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选择与应用：选择合适的交流电动机类型，如根据负载特性和工作环境选择同步电动机或异步电动机</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安装与调试：正确安装交流电动机，并进行必要的调试以确保其正常运行</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维护与检修：识别交流电动机的常见故障，如过热、振动、噪声等，并采取相应的措施进行维护和检修</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参数测量与计算：使用测量工具测量交流电动机的电压、电流、转速等参数，并进行必要的计算和分析</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运行监控：监控交流电动机的运行状态，包括电流、电压、温度等参数的变化，及时发现并处理异常情况</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9</w:t>
            </w:r>
          </w:p>
        </w:tc>
        <w:tc>
          <w:tcPr>
            <w:tcW w:w="157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可编程控制器及其应用</w:t>
            </w:r>
          </w:p>
        </w:tc>
        <w:tc>
          <w:tcPr>
            <w:tcW w:w="3490" w:type="dxa"/>
            <w:vMerge w:val="restart"/>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可编程控制器（</w:t>
            </w:r>
            <w:r>
              <w:rPr>
                <w:sz w:val="21"/>
                <w:szCs w:val="21"/>
              </w:rPr>
              <w:t>PLC）基础</w:t>
            </w:r>
            <w:r>
              <w:rPr>
                <w:rFonts w:hint="eastAsia"/>
                <w:sz w:val="21"/>
                <w:szCs w:val="21"/>
              </w:rPr>
              <w:t>定义：可编程控制器是一种数字运算操作的电子系统，专为在工业环境下应用而设计</w:t>
            </w:r>
          </w:p>
          <w:p>
            <w:pPr>
              <w:pStyle w:val="2"/>
              <w:rPr>
                <w:sz w:val="21"/>
                <w:szCs w:val="21"/>
              </w:rPr>
            </w:pPr>
            <w:r>
              <w:rPr>
                <w:rFonts w:hint="eastAsia"/>
                <w:sz w:val="21"/>
                <w:szCs w:val="21"/>
              </w:rPr>
              <w:t>主要特点：</w:t>
            </w:r>
          </w:p>
          <w:p>
            <w:pPr>
              <w:pStyle w:val="2"/>
              <w:rPr>
                <w:sz w:val="21"/>
                <w:szCs w:val="21"/>
              </w:rPr>
            </w:pPr>
            <w:r>
              <w:rPr>
                <w:rFonts w:hint="eastAsia"/>
                <w:sz w:val="21"/>
                <w:szCs w:val="21"/>
              </w:rPr>
              <w:t>灵活性高：快速修改控制程序以适应不同的生产要求和环境变化。</w:t>
            </w:r>
          </w:p>
          <w:p>
            <w:pPr>
              <w:pStyle w:val="2"/>
              <w:rPr>
                <w:sz w:val="21"/>
                <w:szCs w:val="21"/>
              </w:rPr>
            </w:pPr>
            <w:r>
              <w:rPr>
                <w:rFonts w:hint="eastAsia"/>
                <w:sz w:val="21"/>
                <w:szCs w:val="21"/>
              </w:rPr>
              <w:t>可靠性强：采用实时操作系统和硬件实现，保证控制精度和稳定性</w:t>
            </w:r>
          </w:p>
          <w:p>
            <w:pPr>
              <w:pStyle w:val="2"/>
              <w:rPr>
                <w:sz w:val="21"/>
                <w:szCs w:val="21"/>
              </w:rPr>
            </w:pPr>
            <w:r>
              <w:rPr>
                <w:rFonts w:hint="eastAsia"/>
                <w:sz w:val="21"/>
                <w:szCs w:val="21"/>
              </w:rPr>
              <w:t>扩展性好：可以通过扩展</w:t>
            </w:r>
            <w:r>
              <w:rPr>
                <w:sz w:val="21"/>
                <w:szCs w:val="21"/>
              </w:rPr>
              <w:t>I/O模块、通讯模块等方式，实现对多种不同设备和信号的控制</w:t>
            </w:r>
          </w:p>
          <w:p>
            <w:pPr>
              <w:pStyle w:val="2"/>
              <w:rPr>
                <w:sz w:val="21"/>
                <w:szCs w:val="21"/>
              </w:rPr>
            </w:pPr>
            <w:r>
              <w:rPr>
                <w:rFonts w:hint="eastAsia"/>
                <w:sz w:val="21"/>
                <w:szCs w:val="21"/>
              </w:rPr>
              <w:t>易维护性好：通常采用模块化设计，可以方便地进行部件更换和功能升级</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半导体存储器的分类：按其功能可分为随机存取存储器（</w:t>
            </w:r>
            <w:r>
              <w:rPr>
                <w:sz w:val="21"/>
                <w:szCs w:val="21"/>
              </w:rPr>
              <w:t>RAM）和只读存储器（ROM）。RAM包括动态随机存取存储器（DRAM）和静态随机存取存储器（SRAM），ROM主要用于BIOS存储器</w:t>
            </w:r>
          </w:p>
        </w:tc>
        <w:tc>
          <w:tcPr>
            <w:tcW w:w="3270" w:type="dxa"/>
            <w:vMerge w:val="restart"/>
            <w:shd w:val="clear" w:color="auto" w:fill="auto"/>
            <w:tcMar>
              <w:top w:w="10" w:type="dxa"/>
              <w:left w:w="10" w:type="dxa"/>
              <w:right w:w="10" w:type="dxa"/>
            </w:tcMar>
            <w:vAlign w:val="center"/>
          </w:tcPr>
          <w:p>
            <w:pPr>
              <w:pStyle w:val="2"/>
              <w:rPr>
                <w:sz w:val="21"/>
                <w:szCs w:val="21"/>
              </w:rPr>
            </w:pPr>
            <w:r>
              <w:rPr>
                <w:rFonts w:hint="eastAsia"/>
                <w:sz w:val="21"/>
                <w:szCs w:val="21"/>
              </w:rPr>
              <w:t>(1)</w:t>
            </w:r>
            <w:r>
              <w:rPr>
                <w:sz w:val="21"/>
                <w:szCs w:val="21"/>
              </w:rPr>
              <w:t>PLC编程</w:t>
            </w:r>
          </w:p>
          <w:p>
            <w:pPr>
              <w:pStyle w:val="2"/>
              <w:rPr>
                <w:sz w:val="21"/>
                <w:szCs w:val="21"/>
              </w:rPr>
            </w:pPr>
            <w:r>
              <w:rPr>
                <w:rFonts w:hint="eastAsia"/>
                <w:sz w:val="21"/>
                <w:szCs w:val="21"/>
              </w:rPr>
              <w:t>编程方法：使用</w:t>
            </w:r>
            <w:r>
              <w:rPr>
                <w:sz w:val="21"/>
                <w:szCs w:val="21"/>
              </w:rPr>
              <w:t>PLC编程软件进行梯形图、功能块图或结构化文本的编程</w:t>
            </w:r>
          </w:p>
          <w:p>
            <w:pPr>
              <w:pStyle w:val="2"/>
              <w:rPr>
                <w:sz w:val="21"/>
                <w:szCs w:val="21"/>
              </w:rPr>
            </w:pPr>
            <w:r>
              <w:rPr>
                <w:rFonts w:hint="eastAsia"/>
                <w:sz w:val="21"/>
                <w:szCs w:val="21"/>
              </w:rPr>
              <w:t>调试与测试：利用编程软件的调试功能对</w:t>
            </w:r>
            <w:r>
              <w:rPr>
                <w:sz w:val="21"/>
                <w:szCs w:val="21"/>
              </w:rPr>
              <w:t>PLC程序进行调试和测试，确保程序的正确性和可靠性</w:t>
            </w:r>
          </w:p>
          <w:p>
            <w:pPr>
              <w:pStyle w:val="2"/>
              <w:rPr>
                <w:sz w:val="21"/>
                <w:szCs w:val="21"/>
              </w:rPr>
            </w:pPr>
            <w:r>
              <w:rPr>
                <w:sz w:val="21"/>
                <w:szCs w:val="21"/>
              </w:rPr>
              <w:t>(</w:t>
            </w:r>
            <w:r>
              <w:rPr>
                <w:rFonts w:hint="eastAsia"/>
                <w:sz w:val="21"/>
                <w:szCs w:val="21"/>
              </w:rPr>
              <w:t>2</w:t>
            </w:r>
            <w:r>
              <w:rPr>
                <w:sz w:val="21"/>
                <w:szCs w:val="21"/>
              </w:rPr>
              <w:t>)PLC应用</w:t>
            </w:r>
          </w:p>
          <w:p>
            <w:pPr>
              <w:pStyle w:val="2"/>
              <w:rPr>
                <w:sz w:val="21"/>
                <w:szCs w:val="21"/>
              </w:rPr>
            </w:pPr>
            <w:r>
              <w:rPr>
                <w:rFonts w:hint="eastAsia"/>
                <w:sz w:val="21"/>
                <w:szCs w:val="21"/>
              </w:rPr>
              <w:t>系统集成：将不同设备和系统集成到一个统一的</w:t>
            </w:r>
            <w:r>
              <w:rPr>
                <w:sz w:val="21"/>
                <w:szCs w:val="21"/>
              </w:rPr>
              <w:t>PLC控制系统中，实现设备和系统之间的无缝协同工作</w:t>
            </w:r>
          </w:p>
          <w:p>
            <w:pPr>
              <w:pStyle w:val="2"/>
              <w:rPr>
                <w:sz w:val="21"/>
                <w:szCs w:val="21"/>
              </w:rPr>
            </w:pPr>
            <w:r>
              <w:rPr>
                <w:rFonts w:hint="eastAsia"/>
                <w:sz w:val="21"/>
                <w:szCs w:val="21"/>
              </w:rPr>
              <w:t>故障诊断与排除：识别</w:t>
            </w:r>
            <w:r>
              <w:rPr>
                <w:sz w:val="21"/>
                <w:szCs w:val="21"/>
              </w:rPr>
              <w:t>PLC系统可能出现的故障，并采取相应的措施进行诊断和排除</w:t>
            </w:r>
          </w:p>
          <w:p>
            <w:pPr>
              <w:pStyle w:val="2"/>
              <w:rPr>
                <w:sz w:val="21"/>
                <w:szCs w:val="21"/>
              </w:rPr>
            </w:pPr>
            <w:r>
              <w:rPr>
                <w:rFonts w:hint="eastAsia"/>
                <w:sz w:val="21"/>
                <w:szCs w:val="21"/>
              </w:rPr>
              <w:t>维护与优化：对</w:t>
            </w:r>
            <w:r>
              <w:rPr>
                <w:sz w:val="21"/>
                <w:szCs w:val="21"/>
              </w:rPr>
              <w:t>PLC系统进行日常的维护和保养，并根据实际需求对系统进行优化和改进</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pPr>
          </w:p>
        </w:tc>
        <w:tc>
          <w:tcPr>
            <w:tcW w:w="1570" w:type="dxa"/>
            <w:vMerge w:val="continue"/>
            <w:shd w:val="clear" w:color="auto" w:fill="auto"/>
            <w:tcMar>
              <w:top w:w="10" w:type="dxa"/>
              <w:left w:w="10" w:type="dxa"/>
              <w:right w:w="10" w:type="dxa"/>
            </w:tcMar>
            <w:vAlign w:val="center"/>
          </w:tcPr>
          <w:p>
            <w:pPr>
              <w:pStyle w:val="2"/>
            </w:pPr>
          </w:p>
        </w:tc>
        <w:tc>
          <w:tcPr>
            <w:tcW w:w="3490" w:type="dxa"/>
            <w:vMerge w:val="continue"/>
            <w:shd w:val="clear" w:color="auto" w:fill="auto"/>
            <w:tcMar>
              <w:top w:w="10" w:type="dxa"/>
              <w:left w:w="10" w:type="dxa"/>
              <w:right w:w="10" w:type="dxa"/>
            </w:tcMar>
            <w:vAlign w:val="center"/>
          </w:tcPr>
          <w:p>
            <w:pPr>
              <w:pStyle w:val="2"/>
            </w:pPr>
          </w:p>
        </w:tc>
        <w:tc>
          <w:tcPr>
            <w:tcW w:w="3270" w:type="dxa"/>
            <w:vMerge w:val="continue"/>
            <w:shd w:val="clear" w:color="auto" w:fill="auto"/>
            <w:tcMar>
              <w:top w:w="10" w:type="dxa"/>
              <w:left w:w="10" w:type="dxa"/>
              <w:right w:w="10" w:type="dxa"/>
            </w:tcMar>
            <w:vAlign w:val="center"/>
          </w:tcPr>
          <w:p>
            <w:pPr>
              <w:pStyle w:val="2"/>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pPr>
          </w:p>
        </w:tc>
        <w:tc>
          <w:tcPr>
            <w:tcW w:w="1570" w:type="dxa"/>
            <w:vMerge w:val="continue"/>
            <w:shd w:val="clear" w:color="auto" w:fill="auto"/>
            <w:tcMar>
              <w:top w:w="10" w:type="dxa"/>
              <w:left w:w="10" w:type="dxa"/>
              <w:right w:w="10" w:type="dxa"/>
            </w:tcMar>
            <w:vAlign w:val="center"/>
          </w:tcPr>
          <w:p>
            <w:pPr>
              <w:pStyle w:val="2"/>
            </w:pPr>
          </w:p>
        </w:tc>
        <w:tc>
          <w:tcPr>
            <w:tcW w:w="3490" w:type="dxa"/>
            <w:vMerge w:val="continue"/>
            <w:shd w:val="clear" w:color="auto" w:fill="auto"/>
            <w:tcMar>
              <w:top w:w="10" w:type="dxa"/>
              <w:left w:w="10" w:type="dxa"/>
              <w:right w:w="10" w:type="dxa"/>
            </w:tcMar>
            <w:vAlign w:val="center"/>
          </w:tcPr>
          <w:p>
            <w:pPr>
              <w:pStyle w:val="2"/>
            </w:pPr>
          </w:p>
        </w:tc>
        <w:tc>
          <w:tcPr>
            <w:tcW w:w="3270" w:type="dxa"/>
            <w:vMerge w:val="continue"/>
            <w:shd w:val="clear" w:color="auto" w:fill="auto"/>
            <w:tcMar>
              <w:top w:w="10" w:type="dxa"/>
              <w:left w:w="10" w:type="dxa"/>
              <w:right w:w="10" w:type="dxa"/>
            </w:tcMar>
            <w:vAlign w:val="center"/>
          </w:tcPr>
          <w:p>
            <w:pPr>
              <w:pStyle w:val="2"/>
            </w:pPr>
          </w:p>
        </w:tc>
      </w:tr>
    </w:tbl>
    <w:p>
      <w:pPr>
        <w:spacing w:after="0" w:line="240" w:lineRule="auto"/>
        <w:ind w:firstLine="342" w:firstLineChars="150"/>
        <w:jc w:val="both"/>
        <w:rPr>
          <w:rFonts w:asciiTheme="minorEastAsia" w:hAnsiTheme="minorEastAsia" w:eastAsiaTheme="minorEastAsia"/>
        </w:rPr>
      </w:pPr>
    </w:p>
    <w:p>
      <w:pPr>
        <w:spacing w:after="0" w:line="240" w:lineRule="auto"/>
        <w:ind w:firstLine="342" w:firstLineChars="150"/>
        <w:jc w:val="both"/>
        <w:rPr>
          <w:rFonts w:asciiTheme="minorEastAsia" w:hAnsiTheme="minorEastAsia" w:eastAsiaTheme="minorEastAsia"/>
        </w:rPr>
      </w:pPr>
      <w:r>
        <w:rPr>
          <w:rFonts w:hint="eastAsia" w:asciiTheme="minorEastAsia" w:hAnsiTheme="minorEastAsia" w:eastAsiaTheme="minorEastAsia"/>
        </w:rPr>
        <w:t>（二）考核方式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本课程采用过程考核、理论考核、技能考核方式进行。</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1.过程考核：占课程总评成绩的40%。包括学生到课、课堂交流、实训练习、平时作业、阶段测练、期中考试等环节，由任课教师在课程教学过程中实施与评定；</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2.理论考核：占课程总评成绩的20%。由教研室在课程结束时组织实施，或在课程教学过程中分阶段实施；</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3.技能考核：占课程总评成绩的40%。由教研室制定技能考核方案，在课程结束或课程教学过程中分阶段，采用分组或个人抽签方式实施。</w:t>
      </w:r>
    </w:p>
    <w:p>
      <w:pPr>
        <w:spacing w:after="0" w:line="240" w:lineRule="auto"/>
        <w:ind w:firstLine="454"/>
        <w:jc w:val="both"/>
        <w:rPr>
          <w:rFonts w:asciiTheme="minorEastAsia" w:hAnsiTheme="minorEastAsia" w:eastAsiaTheme="minorEastAsia"/>
        </w:rPr>
      </w:pPr>
      <w:bookmarkStart w:id="13" w:name="_Toc144476174"/>
      <w:r>
        <w:rPr>
          <w:rFonts w:hint="eastAsia" w:asciiTheme="minorEastAsia" w:hAnsiTheme="minorEastAsia" w:eastAsiaTheme="minorEastAsia"/>
        </w:rPr>
        <w:t>七、实施建议</w:t>
      </w:r>
      <w:bookmarkEnd w:id="13"/>
    </w:p>
    <w:p>
      <w:pPr>
        <w:widowControl/>
        <w:spacing w:after="0" w:line="240" w:lineRule="auto"/>
        <w:ind w:firstLine="454"/>
        <w:jc w:val="both"/>
        <w:rPr>
          <w:rFonts w:cs="宋体" w:asciiTheme="minorEastAsia" w:hAnsiTheme="minorEastAsia" w:eastAsiaTheme="minorEastAsia"/>
          <w:bCs/>
          <w:color w:val="000000"/>
          <w:kern w:val="0"/>
        </w:rPr>
      </w:pPr>
      <w:r>
        <w:rPr>
          <w:rFonts w:hint="eastAsia" w:cs="宋体" w:asciiTheme="minorEastAsia" w:hAnsiTheme="minorEastAsia" w:eastAsiaTheme="minorEastAsia"/>
          <w:bCs/>
          <w:color w:val="000000"/>
          <w:kern w:val="0"/>
        </w:rPr>
        <w:t>（一）教材编写与使用选择</w:t>
      </w:r>
    </w:p>
    <w:p>
      <w:pPr>
        <w:widowControl/>
        <w:spacing w:after="0" w:line="240" w:lineRule="auto"/>
        <w:ind w:firstLine="454"/>
        <w:jc w:val="both"/>
        <w:rPr>
          <w:rFonts w:cs="宋体" w:asciiTheme="minorEastAsia" w:hAnsiTheme="minorEastAsia" w:eastAsiaTheme="minorEastAsia"/>
          <w:bCs/>
          <w:kern w:val="36"/>
        </w:rPr>
      </w:pPr>
      <w:r>
        <w:rPr>
          <w:rFonts w:hint="eastAsia" w:cs="宋体" w:asciiTheme="minorEastAsia" w:hAnsiTheme="minorEastAsia" w:eastAsiaTheme="minorEastAsia"/>
          <w:bCs/>
          <w:kern w:val="36"/>
        </w:rPr>
        <w:t>杨格，石宗银，谢红编. 普通高等教育十四五系列教材 电工技术与应用. 武汉：华中科技大学出版社, 2022.08.原书定价</w:t>
      </w:r>
      <w:r>
        <w:rPr>
          <w:rFonts w:hint="eastAsia" w:cs="宋体" w:asciiTheme="minorEastAsia" w:hAnsiTheme="minorEastAsia" w:eastAsiaTheme="minorEastAsia"/>
          <w:bCs/>
          <w:kern w:val="36"/>
          <w:lang w:val="en-US" w:eastAsia="zh-CN"/>
        </w:rPr>
        <w:t>:</w:t>
      </w:r>
      <w:r>
        <w:rPr>
          <w:rFonts w:hint="eastAsia" w:cs="宋体" w:asciiTheme="minorEastAsia" w:hAnsiTheme="minorEastAsia" w:eastAsiaTheme="minorEastAsia"/>
          <w:bCs/>
          <w:kern w:val="36"/>
        </w:rPr>
        <w:t>58.00</w:t>
      </w:r>
      <w:bookmarkStart w:id="17" w:name="_GoBack"/>
      <w:bookmarkEnd w:id="17"/>
    </w:p>
    <w:p>
      <w:pPr>
        <w:widowControl/>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（二）教学方法与手段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1.教学方法：</w:t>
      </w:r>
    </w:p>
    <w:p>
      <w:pPr>
        <w:spacing w:after="0" w:line="240" w:lineRule="auto"/>
        <w:ind w:firstLine="454"/>
        <w:jc w:val="both"/>
        <w:rPr>
          <w:rFonts w:asciiTheme="minorEastAsia" w:hAnsiTheme="minorEastAsia" w:eastAsiaTheme="minorEastAsia"/>
        </w:rPr>
      </w:pPr>
      <w:bookmarkStart w:id="14" w:name="_Hlk140358385"/>
      <w:r>
        <w:rPr>
          <w:rFonts w:hint="eastAsia" w:asciiTheme="minorEastAsia" w:hAnsiTheme="minorEastAsia" w:eastAsiaTheme="minorEastAsia"/>
        </w:rPr>
        <w:t>课程根据不同教学内容主要采用以下教学方式。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（1）传递-接受式：教师以讲授方式向学生传递教学内容，强调教师的指导作用，学生可以在课堂上接受大量的理论知识；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（2）问题-探究式：教师抛出课程案例，以问题为线索，学生通过思考、实践、小组讨论等方式探究解决问题的方法，重点培养学生的学习能力和合作精神；</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（3）示范-模仿式：采用在实践技能教学上，通过老师的示范，学生观看后动手操作的方式，锻炼学生技能，达到教学目的</w:t>
      </w:r>
      <w:bookmarkEnd w:id="14"/>
      <w:r>
        <w:rPr>
          <w:rFonts w:hint="eastAsia" w:asciiTheme="minorEastAsia" w:hAnsiTheme="minorEastAsia" w:eastAsiaTheme="minorEastAsia"/>
        </w:rPr>
        <w:t>。</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2.教学手段：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本课程根据不同教学内容采用课堂多媒体教学、线上网络教学、实训室教学等多种教学手段。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（三）课程资源开发与利用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通过浏览网络精品课程，更有针对性地学习自己感兴趣的内容。</w:t>
      </w:r>
    </w:p>
    <w:p>
      <w:pPr>
        <w:keepNext w:val="0"/>
        <w:keepLines w:val="0"/>
        <w:pageBreakBefore w:val="0"/>
        <w:widowControl w:val="0"/>
        <w:kinsoku/>
        <w:wordWrap/>
        <w:overflowPunct/>
        <w:topLinePunct w:val="0"/>
        <w:autoSpaceDE/>
        <w:autoSpaceDN/>
        <w:bidi w:val="0"/>
        <w:adjustRightInd/>
        <w:snapToGrid/>
        <w:spacing w:after="0" w:line="240" w:lineRule="auto"/>
        <w:ind w:left="0" w:leftChars="0" w:firstLine="456" w:firstLineChars="200"/>
        <w:jc w:val="left"/>
        <w:textAlignment w:val="auto"/>
        <w:rPr>
          <w:rFonts w:hint="eastAsia" w:ascii="宋体" w:hAnsi="宋体" w:eastAsia="宋体" w:cs="宋体"/>
          <w:sz w:val="24"/>
          <w:szCs w:val="24"/>
        </w:rPr>
      </w:pPr>
      <w:bookmarkStart w:id="15" w:name="_Toc144476175"/>
      <w:r>
        <w:rPr>
          <w:rFonts w:hint="eastAsia" w:ascii="宋体" w:hAnsi="宋体" w:eastAsia="宋体" w:cs="宋体"/>
          <w:sz w:val="24"/>
          <w:szCs w:val="24"/>
        </w:rPr>
        <w:t xml:space="preserve">1.中国大学 MOOC：电工技术   </w:t>
      </w:r>
      <w:bookmarkStart w:id="16" w:name="_Hlk166354736"/>
      <w:r>
        <w:rPr>
          <w:rFonts w:hint="eastAsia" w:ascii="宋体" w:hAnsi="宋体" w:eastAsia="宋体" w:cs="宋体"/>
          <w:sz w:val="24"/>
          <w:szCs w:val="24"/>
        </w:rPr>
        <w:t>国家精品</w:t>
      </w:r>
      <w:bookmarkEnd w:id="16"/>
    </w:p>
    <w:p>
      <w:pPr>
        <w:keepNext w:val="0"/>
        <w:keepLines w:val="0"/>
        <w:pageBreakBefore w:val="0"/>
        <w:widowControl w:val="0"/>
        <w:kinsoku/>
        <w:wordWrap/>
        <w:overflowPunct/>
        <w:topLinePunct w:val="0"/>
        <w:autoSpaceDE/>
        <w:autoSpaceDN/>
        <w:bidi w:val="0"/>
        <w:adjustRightInd/>
        <w:snapToGrid/>
        <w:spacing w:after="0" w:line="240" w:lineRule="auto"/>
        <w:ind w:left="0" w:leftChars="0" w:firstLine="456"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https://www.icourse163.org/course/SZPT-1002693021</w:t>
      </w:r>
    </w:p>
    <w:p>
      <w:pPr>
        <w:keepNext w:val="0"/>
        <w:keepLines w:val="0"/>
        <w:pageBreakBefore w:val="0"/>
        <w:widowControl w:val="0"/>
        <w:kinsoku/>
        <w:wordWrap/>
        <w:overflowPunct/>
        <w:topLinePunct w:val="0"/>
        <w:autoSpaceDE/>
        <w:autoSpaceDN/>
        <w:bidi w:val="0"/>
        <w:adjustRightInd/>
        <w:snapToGrid/>
        <w:spacing w:after="0" w:line="240" w:lineRule="auto"/>
        <w:ind w:left="0" w:leftChars="0" w:firstLine="456"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2.中国大学 MOOC：数字电工技术   国家精品</w:t>
      </w:r>
    </w:p>
    <w:p>
      <w:pPr>
        <w:keepNext w:val="0"/>
        <w:keepLines w:val="0"/>
        <w:pageBreakBefore w:val="0"/>
        <w:widowControl w:val="0"/>
        <w:kinsoku/>
        <w:wordWrap/>
        <w:overflowPunct/>
        <w:topLinePunct w:val="0"/>
        <w:autoSpaceDE/>
        <w:autoSpaceDN/>
        <w:bidi w:val="0"/>
        <w:adjustRightInd/>
        <w:snapToGrid/>
        <w:spacing w:after="0" w:line="240" w:lineRule="auto"/>
        <w:ind w:left="0" w:leftChars="0" w:firstLine="456"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https://www.icourse163.org/course/CSU-1001907006</w:t>
      </w:r>
    </w:p>
    <w:p>
      <w:pPr>
        <w:keepNext w:val="0"/>
        <w:keepLines w:val="0"/>
        <w:pageBreakBefore w:val="0"/>
        <w:widowControl w:val="0"/>
        <w:kinsoku/>
        <w:wordWrap/>
        <w:overflowPunct/>
        <w:topLinePunct w:val="0"/>
        <w:autoSpaceDE/>
        <w:autoSpaceDN/>
        <w:bidi w:val="0"/>
        <w:adjustRightInd/>
        <w:snapToGrid/>
        <w:spacing w:after="0" w:line="240" w:lineRule="auto"/>
        <w:ind w:left="0" w:leftChars="0" w:firstLine="456"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3.中国大学 MOOC：电工技术基础与技能</w:t>
      </w:r>
    </w:p>
    <w:p>
      <w:pPr>
        <w:keepNext w:val="0"/>
        <w:keepLines w:val="0"/>
        <w:pageBreakBefore w:val="0"/>
        <w:widowControl w:val="0"/>
        <w:kinsoku/>
        <w:wordWrap/>
        <w:overflowPunct/>
        <w:topLinePunct w:val="0"/>
        <w:autoSpaceDE/>
        <w:autoSpaceDN/>
        <w:bidi w:val="0"/>
        <w:adjustRightInd/>
        <w:snapToGrid/>
        <w:spacing w:after="0" w:line="240" w:lineRule="auto"/>
        <w:ind w:left="0" w:leftChars="0" w:firstLine="456"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https://www.icourse163.org/course/HEPSVE-386003</w:t>
      </w:r>
    </w:p>
    <w:p>
      <w:pPr>
        <w:keepNext w:val="0"/>
        <w:keepLines w:val="0"/>
        <w:pageBreakBefore w:val="0"/>
        <w:widowControl w:val="0"/>
        <w:kinsoku/>
        <w:wordWrap/>
        <w:overflowPunct/>
        <w:topLinePunct w:val="0"/>
        <w:autoSpaceDE/>
        <w:autoSpaceDN/>
        <w:bidi w:val="0"/>
        <w:adjustRightInd/>
        <w:snapToGrid/>
        <w:spacing w:after="0" w:line="240" w:lineRule="auto"/>
        <w:ind w:left="0" w:leftChars="0" w:firstLine="456"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4.中国大学 MOOC：电力电工技术    国家精品</w:t>
      </w:r>
    </w:p>
    <w:p>
      <w:pPr>
        <w:keepNext w:val="0"/>
        <w:keepLines w:val="0"/>
        <w:pageBreakBefore w:val="0"/>
        <w:widowControl w:val="0"/>
        <w:kinsoku/>
        <w:wordWrap/>
        <w:overflowPunct/>
        <w:topLinePunct w:val="0"/>
        <w:autoSpaceDE/>
        <w:autoSpaceDN/>
        <w:bidi w:val="0"/>
        <w:adjustRightInd/>
        <w:snapToGrid/>
        <w:spacing w:after="0" w:line="240" w:lineRule="auto"/>
        <w:ind w:left="0" w:leftChars="0" w:firstLine="456" w:firstLineChars="200"/>
        <w:jc w:val="left"/>
        <w:textAlignment w:val="auto"/>
        <w:rPr>
          <w:rFonts w:hint="eastAsia" w:ascii="宋体" w:hAnsi="宋体" w:eastAsia="宋体" w:cs="宋体"/>
          <w:sz w:val="24"/>
          <w:szCs w:val="24"/>
        </w:rPr>
      </w:pPr>
      <w:r>
        <w:rPr>
          <w:rFonts w:hint="eastAsia" w:ascii="宋体" w:hAnsi="宋体" w:eastAsia="宋体" w:cs="宋体"/>
          <w:color w:val="auto"/>
          <w:sz w:val="24"/>
          <w:szCs w:val="24"/>
          <w:u w:val="none"/>
        </w:rPr>
        <w:t>https://www.icourse163.org/course/ZJUT-1205807831</w:t>
      </w:r>
    </w:p>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200"/>
        <w:jc w:val="left"/>
        <w:textAlignment w:val="auto"/>
        <w:rPr>
          <w:rFonts w:hint="eastAsia" w:ascii="宋体" w:hAnsi="宋体" w:eastAsia="宋体" w:cs="宋体"/>
          <w:sz w:val="24"/>
          <w:szCs w:val="24"/>
          <w:lang w:val="en-US" w:eastAsia="zh-CN"/>
        </w:rPr>
      </w:pPr>
      <w:r>
        <w:rPr>
          <w:rFonts w:hint="eastAsia" w:cs="宋体"/>
          <w:sz w:val="24"/>
          <w:szCs w:val="24"/>
          <w:lang w:val="en-US" w:eastAsia="zh-CN"/>
        </w:rPr>
        <w:t>5.</w:t>
      </w:r>
      <w:r>
        <w:rPr>
          <w:rFonts w:hint="eastAsia" w:ascii="宋体" w:hAnsi="宋体" w:eastAsia="宋体" w:cs="宋体"/>
          <w:sz w:val="24"/>
          <w:szCs w:val="24"/>
          <w:lang w:val="en-US" w:eastAsia="zh-CN"/>
        </w:rPr>
        <w:t>智慧树：电工技术</w:t>
      </w:r>
    </w:p>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https://coursehome.zhihuishu.com/courseHome/1000012297/229018/</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八、编制说明</w:t>
      </w:r>
      <w:bookmarkEnd w:id="15"/>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编写人：吴增抱  讲师  赣西科技职业学院应急管理与艺术设计学院</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审核人：李良松  教授  赣西科技职业学院应急管理与艺术设计学院</w:t>
      </w:r>
    </w:p>
    <w:p>
      <w:pPr>
        <w:spacing w:after="0" w:line="240" w:lineRule="auto"/>
        <w:ind w:firstLine="454"/>
        <w:jc w:val="both"/>
        <w:rPr>
          <w:rFonts w:asciiTheme="minorEastAsia" w:hAnsiTheme="minorEastAsia" w:eastAsiaTheme="minorEastAsia"/>
          <w:sz w:val="28"/>
          <w:szCs w:val="28"/>
        </w:rPr>
      </w:pPr>
      <w:r>
        <w:rPr>
          <w:rFonts w:hint="eastAsia" w:asciiTheme="minorEastAsia" w:hAnsiTheme="minorEastAsia" w:eastAsiaTheme="minorEastAsia"/>
        </w:rPr>
        <w:t>执行日：本标准从2024年9月起执行</w:t>
      </w:r>
      <w:r>
        <w:rPr>
          <w:rFonts w:hint="eastAsia" w:asciiTheme="minorEastAsia" w:hAnsiTheme="minorEastAsia" w:eastAsiaTheme="minorEastAsia"/>
          <w:sz w:val="28"/>
          <w:szCs w:val="28"/>
        </w:rPr>
        <w:t>。</w:t>
      </w:r>
    </w:p>
    <w:sectPr>
      <w:headerReference r:id="rId7" w:type="first"/>
      <w:footerReference r:id="rId10" w:type="first"/>
      <w:headerReference r:id="rId5" w:type="default"/>
      <w:footerReference r:id="rId8" w:type="default"/>
      <w:headerReference r:id="rId6" w:type="even"/>
      <w:footerReference r:id="rId9" w:type="even"/>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56"/>
      </w:pPr>
      <w:r>
        <w:separator/>
      </w:r>
    </w:p>
  </w:endnote>
  <w:endnote w:type="continuationSeparator" w:id="1">
    <w:p>
      <w:pPr>
        <w:spacing w:line="240" w:lineRule="auto"/>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273050"/>
              <wp:effectExtent l="0" t="0" r="0" b="0"/>
              <wp:wrapNone/>
              <wp:docPr id="1608983267" name="文本框 1"/>
              <wp:cNvGraphicFramePr/>
              <a:graphic xmlns:a="http://schemas.openxmlformats.org/drawingml/2006/main">
                <a:graphicData uri="http://schemas.microsoft.com/office/word/2010/wordprocessingShape">
                  <wps:wsp>
                    <wps:cNvSpPr txBox="1"/>
                    <wps:spPr>
                      <a:xfrm>
                        <a:off x="0" y="0"/>
                        <a:ext cx="286385" cy="273050"/>
                      </a:xfrm>
                      <a:prstGeom prst="rect">
                        <a:avLst/>
                      </a:prstGeom>
                      <a:noFill/>
                      <a:ln w="15875">
                        <a:noFill/>
                      </a:ln>
                    </wps:spPr>
                    <wps:txbx>
                      <w:txbxContent>
                        <w:p>
                          <w:pPr>
                            <w:pStyle w:val="16"/>
                            <w:ind w:firstLine="360"/>
                            <w:rPr>
                              <w:rStyle w:val="30"/>
                            </w:rPr>
                          </w:pPr>
                          <w:r>
                            <w:fldChar w:fldCharType="begin"/>
                          </w:r>
                          <w:r>
                            <w:rPr>
                              <w:rStyle w:val="30"/>
                            </w:rPr>
                            <w:instrText xml:space="preserve">PAGE  </w:instrText>
                          </w:r>
                          <w:r>
                            <w:fldChar w:fldCharType="separate"/>
                          </w:r>
                          <w:r>
                            <w:rPr>
                              <w:rStyle w:val="30"/>
                            </w:rPr>
                            <w:t>14</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21.5pt;width:22.55pt;mso-position-horizontal:center;mso-position-horizontal-relative:margin;mso-wrap-style:none;z-index:251659264;mso-width-relative:page;mso-height-relative:page;" filled="f" stroked="f" coordsize="21600,21600" o:gfxdata="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5XJ&#10;rdQAAAADAQAADwAAAAAAAAABACAAAAAiAAAAZHJzL2Rvd25yZXYueG1sUEsBAhQAFAAAAAgAh07i&#10;QFZcsWftAQAAwwMAAA4AAAAAAAAAAQAgAAAAIwEAAGRycy9lMm9Eb2MueG1sUEsFBgAAAAAGAAYA&#10;WQEAAIIFAAAAAA==&#10;">
              <v:fill on="f" focussize="0,0"/>
              <v:stroke on="f" weight="1.25pt"/>
              <v:imagedata o:title=""/>
              <o:lock v:ext="edit" aspectratio="f"/>
              <v:textbox inset="0mm,0mm,0mm,0mm" style="mso-fit-shape-to-text:t;">
                <w:txbxContent>
                  <w:p>
                    <w:pPr>
                      <w:pStyle w:val="16"/>
                      <w:ind w:firstLine="360"/>
                      <w:rPr>
                        <w:rStyle w:val="30"/>
                      </w:rPr>
                    </w:pPr>
                    <w:r>
                      <w:fldChar w:fldCharType="begin"/>
                    </w:r>
                    <w:r>
                      <w:rPr>
                        <w:rStyle w:val="30"/>
                      </w:rPr>
                      <w:instrText xml:space="preserve">PAGE  </w:instrText>
                    </w:r>
                    <w:r>
                      <w:fldChar w:fldCharType="separate"/>
                    </w:r>
                    <w:r>
                      <w:rPr>
                        <w:rStyle w:val="30"/>
                      </w:rPr>
                      <w:t>14</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ind w:firstLine="456"/>
      </w:pPr>
      <w:r>
        <w:separator/>
      </w:r>
    </w:p>
  </w:footnote>
  <w:footnote w:type="continuationSeparator" w:id="1">
    <w:p>
      <w:pPr>
        <w:spacing w:before="0" w:after="0" w:line="278" w:lineRule="auto"/>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098E"/>
    <w:rsid w:val="0001162D"/>
    <w:rsid w:val="0001471F"/>
    <w:rsid w:val="00015796"/>
    <w:rsid w:val="000166BA"/>
    <w:rsid w:val="000173DB"/>
    <w:rsid w:val="000213D4"/>
    <w:rsid w:val="0002203E"/>
    <w:rsid w:val="000255E0"/>
    <w:rsid w:val="0002734C"/>
    <w:rsid w:val="0003203F"/>
    <w:rsid w:val="00040651"/>
    <w:rsid w:val="00041E9B"/>
    <w:rsid w:val="00052704"/>
    <w:rsid w:val="0006073E"/>
    <w:rsid w:val="000612C0"/>
    <w:rsid w:val="00066135"/>
    <w:rsid w:val="0006761E"/>
    <w:rsid w:val="000678BD"/>
    <w:rsid w:val="000722C1"/>
    <w:rsid w:val="00076329"/>
    <w:rsid w:val="00080505"/>
    <w:rsid w:val="000861DA"/>
    <w:rsid w:val="000910EA"/>
    <w:rsid w:val="000A2A3A"/>
    <w:rsid w:val="000A4788"/>
    <w:rsid w:val="000C59C8"/>
    <w:rsid w:val="000C622F"/>
    <w:rsid w:val="000D0391"/>
    <w:rsid w:val="000D4E3A"/>
    <w:rsid w:val="000D5457"/>
    <w:rsid w:val="000E591B"/>
    <w:rsid w:val="000F638F"/>
    <w:rsid w:val="000F68D6"/>
    <w:rsid w:val="001015F3"/>
    <w:rsid w:val="00112D50"/>
    <w:rsid w:val="00120F43"/>
    <w:rsid w:val="00127B9F"/>
    <w:rsid w:val="001379F8"/>
    <w:rsid w:val="00140607"/>
    <w:rsid w:val="001419BC"/>
    <w:rsid w:val="001452A0"/>
    <w:rsid w:val="00146540"/>
    <w:rsid w:val="00147D5C"/>
    <w:rsid w:val="00154577"/>
    <w:rsid w:val="001605F2"/>
    <w:rsid w:val="0016213B"/>
    <w:rsid w:val="001768F9"/>
    <w:rsid w:val="00176B10"/>
    <w:rsid w:val="00181115"/>
    <w:rsid w:val="001A0165"/>
    <w:rsid w:val="001A21A8"/>
    <w:rsid w:val="001B2607"/>
    <w:rsid w:val="001C066D"/>
    <w:rsid w:val="001D0C30"/>
    <w:rsid w:val="001D43E4"/>
    <w:rsid w:val="001D5C6F"/>
    <w:rsid w:val="001E1937"/>
    <w:rsid w:val="001F2C0E"/>
    <w:rsid w:val="001F3E53"/>
    <w:rsid w:val="002038B4"/>
    <w:rsid w:val="00207BFB"/>
    <w:rsid w:val="00226556"/>
    <w:rsid w:val="0023779B"/>
    <w:rsid w:val="0024382E"/>
    <w:rsid w:val="00261AA6"/>
    <w:rsid w:val="00261C33"/>
    <w:rsid w:val="0027232D"/>
    <w:rsid w:val="00272657"/>
    <w:rsid w:val="002748AB"/>
    <w:rsid w:val="002762C4"/>
    <w:rsid w:val="00277C86"/>
    <w:rsid w:val="00280CD0"/>
    <w:rsid w:val="00293962"/>
    <w:rsid w:val="0029591D"/>
    <w:rsid w:val="002A0560"/>
    <w:rsid w:val="002A603E"/>
    <w:rsid w:val="002B263F"/>
    <w:rsid w:val="002B3CEB"/>
    <w:rsid w:val="002B75E9"/>
    <w:rsid w:val="002D24D0"/>
    <w:rsid w:val="002E3EDC"/>
    <w:rsid w:val="002E7D04"/>
    <w:rsid w:val="002F1C09"/>
    <w:rsid w:val="002F5D86"/>
    <w:rsid w:val="002F70BC"/>
    <w:rsid w:val="0030317C"/>
    <w:rsid w:val="0030335B"/>
    <w:rsid w:val="00305FC3"/>
    <w:rsid w:val="00312B69"/>
    <w:rsid w:val="00320558"/>
    <w:rsid w:val="00325B83"/>
    <w:rsid w:val="0035275C"/>
    <w:rsid w:val="00361C9D"/>
    <w:rsid w:val="003655AD"/>
    <w:rsid w:val="00365B2E"/>
    <w:rsid w:val="003661E4"/>
    <w:rsid w:val="003679BE"/>
    <w:rsid w:val="00367EF1"/>
    <w:rsid w:val="00374E03"/>
    <w:rsid w:val="00377C52"/>
    <w:rsid w:val="00386BCA"/>
    <w:rsid w:val="00397497"/>
    <w:rsid w:val="0039755D"/>
    <w:rsid w:val="003A5C71"/>
    <w:rsid w:val="003B318B"/>
    <w:rsid w:val="003B689B"/>
    <w:rsid w:val="003C485C"/>
    <w:rsid w:val="003D0EE8"/>
    <w:rsid w:val="003E4465"/>
    <w:rsid w:val="003E7365"/>
    <w:rsid w:val="00400DF3"/>
    <w:rsid w:val="00403CA7"/>
    <w:rsid w:val="004047CD"/>
    <w:rsid w:val="00406E1D"/>
    <w:rsid w:val="004109F2"/>
    <w:rsid w:val="00410A20"/>
    <w:rsid w:val="00424A97"/>
    <w:rsid w:val="00424FDF"/>
    <w:rsid w:val="00425FDC"/>
    <w:rsid w:val="004260E1"/>
    <w:rsid w:val="00430364"/>
    <w:rsid w:val="00431FF1"/>
    <w:rsid w:val="0043202B"/>
    <w:rsid w:val="00437C5E"/>
    <w:rsid w:val="00437DC1"/>
    <w:rsid w:val="004401CF"/>
    <w:rsid w:val="00443189"/>
    <w:rsid w:val="00446ACF"/>
    <w:rsid w:val="00450A96"/>
    <w:rsid w:val="00453725"/>
    <w:rsid w:val="004552A9"/>
    <w:rsid w:val="00457539"/>
    <w:rsid w:val="004620B2"/>
    <w:rsid w:val="00463CE5"/>
    <w:rsid w:val="004672D5"/>
    <w:rsid w:val="00474E10"/>
    <w:rsid w:val="00476338"/>
    <w:rsid w:val="00482376"/>
    <w:rsid w:val="00482EFB"/>
    <w:rsid w:val="00484FC9"/>
    <w:rsid w:val="0048727A"/>
    <w:rsid w:val="00494AC8"/>
    <w:rsid w:val="004A0808"/>
    <w:rsid w:val="004A4D45"/>
    <w:rsid w:val="004B02FD"/>
    <w:rsid w:val="004B1564"/>
    <w:rsid w:val="004C21BE"/>
    <w:rsid w:val="004C2813"/>
    <w:rsid w:val="004C4133"/>
    <w:rsid w:val="004D157F"/>
    <w:rsid w:val="004D3AC1"/>
    <w:rsid w:val="004E39A6"/>
    <w:rsid w:val="004E6F3C"/>
    <w:rsid w:val="004F12F8"/>
    <w:rsid w:val="004F1C1B"/>
    <w:rsid w:val="004F5817"/>
    <w:rsid w:val="005061E8"/>
    <w:rsid w:val="005161F3"/>
    <w:rsid w:val="00516641"/>
    <w:rsid w:val="00516EE0"/>
    <w:rsid w:val="00517431"/>
    <w:rsid w:val="0052042F"/>
    <w:rsid w:val="0052213C"/>
    <w:rsid w:val="005276C9"/>
    <w:rsid w:val="005278A0"/>
    <w:rsid w:val="00527FF0"/>
    <w:rsid w:val="00533CEA"/>
    <w:rsid w:val="00534A8D"/>
    <w:rsid w:val="005445A8"/>
    <w:rsid w:val="005506B6"/>
    <w:rsid w:val="005515E3"/>
    <w:rsid w:val="005554F5"/>
    <w:rsid w:val="005570F5"/>
    <w:rsid w:val="0055797E"/>
    <w:rsid w:val="005626A2"/>
    <w:rsid w:val="00566FCD"/>
    <w:rsid w:val="005745D7"/>
    <w:rsid w:val="005745FD"/>
    <w:rsid w:val="00586F4E"/>
    <w:rsid w:val="00593F9E"/>
    <w:rsid w:val="00594152"/>
    <w:rsid w:val="005A0930"/>
    <w:rsid w:val="005B1EB0"/>
    <w:rsid w:val="005B363F"/>
    <w:rsid w:val="005C11A9"/>
    <w:rsid w:val="005D0760"/>
    <w:rsid w:val="005D733D"/>
    <w:rsid w:val="005D79B4"/>
    <w:rsid w:val="005E3088"/>
    <w:rsid w:val="005E48E7"/>
    <w:rsid w:val="005E5C62"/>
    <w:rsid w:val="005F1E8D"/>
    <w:rsid w:val="005F4DBB"/>
    <w:rsid w:val="00602E01"/>
    <w:rsid w:val="006044E1"/>
    <w:rsid w:val="00605EAA"/>
    <w:rsid w:val="006068BD"/>
    <w:rsid w:val="00610437"/>
    <w:rsid w:val="006174E0"/>
    <w:rsid w:val="00634239"/>
    <w:rsid w:val="00636F0B"/>
    <w:rsid w:val="00640410"/>
    <w:rsid w:val="00642645"/>
    <w:rsid w:val="00642EA4"/>
    <w:rsid w:val="00645C25"/>
    <w:rsid w:val="00650DA2"/>
    <w:rsid w:val="00652E53"/>
    <w:rsid w:val="006568EB"/>
    <w:rsid w:val="00666F7E"/>
    <w:rsid w:val="00667C77"/>
    <w:rsid w:val="0067730D"/>
    <w:rsid w:val="00680561"/>
    <w:rsid w:val="0068518B"/>
    <w:rsid w:val="0069277C"/>
    <w:rsid w:val="00694E6A"/>
    <w:rsid w:val="006A10BF"/>
    <w:rsid w:val="006A4417"/>
    <w:rsid w:val="006B02D3"/>
    <w:rsid w:val="006B2E7C"/>
    <w:rsid w:val="006B377C"/>
    <w:rsid w:val="006C6035"/>
    <w:rsid w:val="006D4FAD"/>
    <w:rsid w:val="006D6FC9"/>
    <w:rsid w:val="006E19F0"/>
    <w:rsid w:val="006E28B9"/>
    <w:rsid w:val="006E577D"/>
    <w:rsid w:val="006F1077"/>
    <w:rsid w:val="006F22F2"/>
    <w:rsid w:val="006F60CD"/>
    <w:rsid w:val="006F7C3B"/>
    <w:rsid w:val="00701273"/>
    <w:rsid w:val="007013D1"/>
    <w:rsid w:val="00701FD2"/>
    <w:rsid w:val="0070764A"/>
    <w:rsid w:val="0072736F"/>
    <w:rsid w:val="00730939"/>
    <w:rsid w:val="00732C03"/>
    <w:rsid w:val="00737D8F"/>
    <w:rsid w:val="00743CCE"/>
    <w:rsid w:val="00744604"/>
    <w:rsid w:val="00744D22"/>
    <w:rsid w:val="00747530"/>
    <w:rsid w:val="00757E50"/>
    <w:rsid w:val="00760FAF"/>
    <w:rsid w:val="00765ABA"/>
    <w:rsid w:val="0076717B"/>
    <w:rsid w:val="00767A30"/>
    <w:rsid w:val="00771DB6"/>
    <w:rsid w:val="007740DF"/>
    <w:rsid w:val="00774DE5"/>
    <w:rsid w:val="00783230"/>
    <w:rsid w:val="00787FF9"/>
    <w:rsid w:val="00794356"/>
    <w:rsid w:val="00797B09"/>
    <w:rsid w:val="007A472C"/>
    <w:rsid w:val="007B1D89"/>
    <w:rsid w:val="007C3573"/>
    <w:rsid w:val="007C793C"/>
    <w:rsid w:val="007E5D7E"/>
    <w:rsid w:val="007E76E2"/>
    <w:rsid w:val="007F59A2"/>
    <w:rsid w:val="007F73F6"/>
    <w:rsid w:val="00803FAC"/>
    <w:rsid w:val="008078F0"/>
    <w:rsid w:val="00807FC5"/>
    <w:rsid w:val="00810411"/>
    <w:rsid w:val="008148DC"/>
    <w:rsid w:val="00824FC2"/>
    <w:rsid w:val="00827754"/>
    <w:rsid w:val="00830FC2"/>
    <w:rsid w:val="00831D7B"/>
    <w:rsid w:val="00833D4A"/>
    <w:rsid w:val="00842F1B"/>
    <w:rsid w:val="00846EF5"/>
    <w:rsid w:val="0085089D"/>
    <w:rsid w:val="00850C33"/>
    <w:rsid w:val="00852BEA"/>
    <w:rsid w:val="00853C67"/>
    <w:rsid w:val="00855A88"/>
    <w:rsid w:val="00855D42"/>
    <w:rsid w:val="008604B8"/>
    <w:rsid w:val="00860D67"/>
    <w:rsid w:val="00863B8D"/>
    <w:rsid w:val="0087322B"/>
    <w:rsid w:val="008754FE"/>
    <w:rsid w:val="008A05DD"/>
    <w:rsid w:val="008A2ABF"/>
    <w:rsid w:val="008A3961"/>
    <w:rsid w:val="008A50B3"/>
    <w:rsid w:val="008A50BF"/>
    <w:rsid w:val="008A52C2"/>
    <w:rsid w:val="008B25DF"/>
    <w:rsid w:val="008B3D96"/>
    <w:rsid w:val="008C539E"/>
    <w:rsid w:val="008C6BB8"/>
    <w:rsid w:val="008D0894"/>
    <w:rsid w:val="008D3526"/>
    <w:rsid w:val="008E05DD"/>
    <w:rsid w:val="008E2CFD"/>
    <w:rsid w:val="008E3735"/>
    <w:rsid w:val="008E522B"/>
    <w:rsid w:val="008E6F12"/>
    <w:rsid w:val="009056EE"/>
    <w:rsid w:val="009072AC"/>
    <w:rsid w:val="00910723"/>
    <w:rsid w:val="00917293"/>
    <w:rsid w:val="009217AC"/>
    <w:rsid w:val="009242D2"/>
    <w:rsid w:val="009265D2"/>
    <w:rsid w:val="0094485B"/>
    <w:rsid w:val="009454FF"/>
    <w:rsid w:val="0094579E"/>
    <w:rsid w:val="0095031D"/>
    <w:rsid w:val="00950F19"/>
    <w:rsid w:val="00950F39"/>
    <w:rsid w:val="00953D06"/>
    <w:rsid w:val="009622D8"/>
    <w:rsid w:val="00962F2A"/>
    <w:rsid w:val="00991317"/>
    <w:rsid w:val="0099743A"/>
    <w:rsid w:val="009A0E71"/>
    <w:rsid w:val="009A227E"/>
    <w:rsid w:val="009A3A54"/>
    <w:rsid w:val="009A570C"/>
    <w:rsid w:val="009A6EBB"/>
    <w:rsid w:val="009C167D"/>
    <w:rsid w:val="009C2591"/>
    <w:rsid w:val="009C6899"/>
    <w:rsid w:val="009C78BB"/>
    <w:rsid w:val="009D2EAC"/>
    <w:rsid w:val="009D7FC6"/>
    <w:rsid w:val="009E1201"/>
    <w:rsid w:val="009E43BC"/>
    <w:rsid w:val="009E75EC"/>
    <w:rsid w:val="00A061B3"/>
    <w:rsid w:val="00A13A05"/>
    <w:rsid w:val="00A328C8"/>
    <w:rsid w:val="00A32E45"/>
    <w:rsid w:val="00A34001"/>
    <w:rsid w:val="00A34524"/>
    <w:rsid w:val="00A363A7"/>
    <w:rsid w:val="00A43FDE"/>
    <w:rsid w:val="00A46896"/>
    <w:rsid w:val="00A4718F"/>
    <w:rsid w:val="00A5511C"/>
    <w:rsid w:val="00A55718"/>
    <w:rsid w:val="00A61757"/>
    <w:rsid w:val="00A6230B"/>
    <w:rsid w:val="00A62C61"/>
    <w:rsid w:val="00A679F6"/>
    <w:rsid w:val="00A72B2D"/>
    <w:rsid w:val="00A72F24"/>
    <w:rsid w:val="00A8218B"/>
    <w:rsid w:val="00A86AF2"/>
    <w:rsid w:val="00A87BBE"/>
    <w:rsid w:val="00A87CF2"/>
    <w:rsid w:val="00A95017"/>
    <w:rsid w:val="00A97964"/>
    <w:rsid w:val="00AA05AB"/>
    <w:rsid w:val="00AA08F7"/>
    <w:rsid w:val="00AA3820"/>
    <w:rsid w:val="00AA52B3"/>
    <w:rsid w:val="00AB28FA"/>
    <w:rsid w:val="00AC4188"/>
    <w:rsid w:val="00AC51D9"/>
    <w:rsid w:val="00AD54F2"/>
    <w:rsid w:val="00AE09F5"/>
    <w:rsid w:val="00AE1D1E"/>
    <w:rsid w:val="00AE5230"/>
    <w:rsid w:val="00AE7950"/>
    <w:rsid w:val="00AF2D48"/>
    <w:rsid w:val="00B017EB"/>
    <w:rsid w:val="00B05296"/>
    <w:rsid w:val="00B06132"/>
    <w:rsid w:val="00B175B4"/>
    <w:rsid w:val="00B301C1"/>
    <w:rsid w:val="00B3261B"/>
    <w:rsid w:val="00B33283"/>
    <w:rsid w:val="00B333D7"/>
    <w:rsid w:val="00B34D60"/>
    <w:rsid w:val="00B35197"/>
    <w:rsid w:val="00B375E3"/>
    <w:rsid w:val="00B37D89"/>
    <w:rsid w:val="00B43935"/>
    <w:rsid w:val="00B553DC"/>
    <w:rsid w:val="00B55844"/>
    <w:rsid w:val="00B55C30"/>
    <w:rsid w:val="00B579C6"/>
    <w:rsid w:val="00B6377E"/>
    <w:rsid w:val="00B6424B"/>
    <w:rsid w:val="00B65C13"/>
    <w:rsid w:val="00B678D7"/>
    <w:rsid w:val="00B7444A"/>
    <w:rsid w:val="00B80360"/>
    <w:rsid w:val="00B83929"/>
    <w:rsid w:val="00B84AE9"/>
    <w:rsid w:val="00B9243B"/>
    <w:rsid w:val="00B92584"/>
    <w:rsid w:val="00B96AB4"/>
    <w:rsid w:val="00BA1030"/>
    <w:rsid w:val="00BA2013"/>
    <w:rsid w:val="00BA34A5"/>
    <w:rsid w:val="00BA5AF6"/>
    <w:rsid w:val="00BB0275"/>
    <w:rsid w:val="00BB56DA"/>
    <w:rsid w:val="00BB59D7"/>
    <w:rsid w:val="00BD7B66"/>
    <w:rsid w:val="00BF4DCF"/>
    <w:rsid w:val="00BF6F7B"/>
    <w:rsid w:val="00C01AA7"/>
    <w:rsid w:val="00C05BAC"/>
    <w:rsid w:val="00C16C06"/>
    <w:rsid w:val="00C243EB"/>
    <w:rsid w:val="00C26A61"/>
    <w:rsid w:val="00C343A1"/>
    <w:rsid w:val="00C464B5"/>
    <w:rsid w:val="00C47CBA"/>
    <w:rsid w:val="00C51699"/>
    <w:rsid w:val="00C51A48"/>
    <w:rsid w:val="00C56DB1"/>
    <w:rsid w:val="00C62676"/>
    <w:rsid w:val="00C67B14"/>
    <w:rsid w:val="00C71C88"/>
    <w:rsid w:val="00C7359D"/>
    <w:rsid w:val="00C81C77"/>
    <w:rsid w:val="00C92A03"/>
    <w:rsid w:val="00C96182"/>
    <w:rsid w:val="00CA1247"/>
    <w:rsid w:val="00CA2BD1"/>
    <w:rsid w:val="00CA2E27"/>
    <w:rsid w:val="00CA3EE9"/>
    <w:rsid w:val="00CA6F1E"/>
    <w:rsid w:val="00CB2B74"/>
    <w:rsid w:val="00CB7BAF"/>
    <w:rsid w:val="00CC5A7F"/>
    <w:rsid w:val="00CD08C7"/>
    <w:rsid w:val="00CD38A8"/>
    <w:rsid w:val="00CD3C28"/>
    <w:rsid w:val="00CD518A"/>
    <w:rsid w:val="00CE21EC"/>
    <w:rsid w:val="00CE261B"/>
    <w:rsid w:val="00CE3BCF"/>
    <w:rsid w:val="00CF63D3"/>
    <w:rsid w:val="00D039E0"/>
    <w:rsid w:val="00D1308F"/>
    <w:rsid w:val="00D15492"/>
    <w:rsid w:val="00D2384E"/>
    <w:rsid w:val="00D314EB"/>
    <w:rsid w:val="00D3205F"/>
    <w:rsid w:val="00D36D6F"/>
    <w:rsid w:val="00D45AFC"/>
    <w:rsid w:val="00D47FB9"/>
    <w:rsid w:val="00D51A81"/>
    <w:rsid w:val="00D55C34"/>
    <w:rsid w:val="00D61969"/>
    <w:rsid w:val="00D74674"/>
    <w:rsid w:val="00D75078"/>
    <w:rsid w:val="00D8183A"/>
    <w:rsid w:val="00D81E15"/>
    <w:rsid w:val="00D85ABE"/>
    <w:rsid w:val="00D85D26"/>
    <w:rsid w:val="00D865B5"/>
    <w:rsid w:val="00D865F7"/>
    <w:rsid w:val="00D9234D"/>
    <w:rsid w:val="00D928DD"/>
    <w:rsid w:val="00D979C4"/>
    <w:rsid w:val="00DB0E0B"/>
    <w:rsid w:val="00DB355D"/>
    <w:rsid w:val="00DB563F"/>
    <w:rsid w:val="00DB6305"/>
    <w:rsid w:val="00DB6F6B"/>
    <w:rsid w:val="00DC70D5"/>
    <w:rsid w:val="00DD6FCF"/>
    <w:rsid w:val="00DE21BF"/>
    <w:rsid w:val="00DE33DF"/>
    <w:rsid w:val="00DF0286"/>
    <w:rsid w:val="00DF212E"/>
    <w:rsid w:val="00DF2567"/>
    <w:rsid w:val="00DF332F"/>
    <w:rsid w:val="00DF4B58"/>
    <w:rsid w:val="00DF51A0"/>
    <w:rsid w:val="00E00078"/>
    <w:rsid w:val="00E0184E"/>
    <w:rsid w:val="00E06831"/>
    <w:rsid w:val="00E07680"/>
    <w:rsid w:val="00E2084D"/>
    <w:rsid w:val="00E209B2"/>
    <w:rsid w:val="00E24142"/>
    <w:rsid w:val="00E41B3D"/>
    <w:rsid w:val="00E51118"/>
    <w:rsid w:val="00E543C6"/>
    <w:rsid w:val="00E546C6"/>
    <w:rsid w:val="00E55554"/>
    <w:rsid w:val="00E6193F"/>
    <w:rsid w:val="00E666F1"/>
    <w:rsid w:val="00E72F1F"/>
    <w:rsid w:val="00E73ECA"/>
    <w:rsid w:val="00E745E7"/>
    <w:rsid w:val="00E7745A"/>
    <w:rsid w:val="00E84195"/>
    <w:rsid w:val="00E85030"/>
    <w:rsid w:val="00E8662F"/>
    <w:rsid w:val="00E954D8"/>
    <w:rsid w:val="00E967F2"/>
    <w:rsid w:val="00EA5E93"/>
    <w:rsid w:val="00EA6B4C"/>
    <w:rsid w:val="00EB319F"/>
    <w:rsid w:val="00EB3951"/>
    <w:rsid w:val="00EC143D"/>
    <w:rsid w:val="00EC269F"/>
    <w:rsid w:val="00EC3142"/>
    <w:rsid w:val="00EC35B5"/>
    <w:rsid w:val="00EC641F"/>
    <w:rsid w:val="00EC787E"/>
    <w:rsid w:val="00ED2C0F"/>
    <w:rsid w:val="00ED703B"/>
    <w:rsid w:val="00EE1295"/>
    <w:rsid w:val="00EE39BA"/>
    <w:rsid w:val="00EF7E32"/>
    <w:rsid w:val="00F27CCA"/>
    <w:rsid w:val="00F32FDB"/>
    <w:rsid w:val="00F41D59"/>
    <w:rsid w:val="00F47AE3"/>
    <w:rsid w:val="00F64C30"/>
    <w:rsid w:val="00F7133F"/>
    <w:rsid w:val="00F71628"/>
    <w:rsid w:val="00F73D3F"/>
    <w:rsid w:val="00F76EB2"/>
    <w:rsid w:val="00F76F4F"/>
    <w:rsid w:val="00F8270C"/>
    <w:rsid w:val="00F847FD"/>
    <w:rsid w:val="00F90EF7"/>
    <w:rsid w:val="00F921FC"/>
    <w:rsid w:val="00F9277B"/>
    <w:rsid w:val="00F95BD7"/>
    <w:rsid w:val="00FA381E"/>
    <w:rsid w:val="00FA63B8"/>
    <w:rsid w:val="00FB2FD8"/>
    <w:rsid w:val="00FB550C"/>
    <w:rsid w:val="00FB621C"/>
    <w:rsid w:val="00FC102B"/>
    <w:rsid w:val="00FC13D9"/>
    <w:rsid w:val="00FC4693"/>
    <w:rsid w:val="00FC4C2B"/>
    <w:rsid w:val="00FC4C7B"/>
    <w:rsid w:val="00FC77DF"/>
    <w:rsid w:val="00FD0548"/>
    <w:rsid w:val="00FD0DF2"/>
    <w:rsid w:val="00FD2E5C"/>
    <w:rsid w:val="00FD2FE1"/>
    <w:rsid w:val="00FD4F8E"/>
    <w:rsid w:val="00FD5DD1"/>
    <w:rsid w:val="00FD6F47"/>
    <w:rsid w:val="00FE011E"/>
    <w:rsid w:val="00FE08A2"/>
    <w:rsid w:val="00FE61EB"/>
    <w:rsid w:val="00FF0E68"/>
    <w:rsid w:val="00FF2496"/>
    <w:rsid w:val="00FF6DBB"/>
    <w:rsid w:val="01065189"/>
    <w:rsid w:val="023A13DD"/>
    <w:rsid w:val="03B029CE"/>
    <w:rsid w:val="03F96AB1"/>
    <w:rsid w:val="04F47CC8"/>
    <w:rsid w:val="079324A1"/>
    <w:rsid w:val="09036924"/>
    <w:rsid w:val="09F74D38"/>
    <w:rsid w:val="0B2C766D"/>
    <w:rsid w:val="0D267094"/>
    <w:rsid w:val="0F477209"/>
    <w:rsid w:val="1090453F"/>
    <w:rsid w:val="125D51C4"/>
    <w:rsid w:val="13F27A1A"/>
    <w:rsid w:val="14B1436D"/>
    <w:rsid w:val="153A2A40"/>
    <w:rsid w:val="1570087D"/>
    <w:rsid w:val="17606A5A"/>
    <w:rsid w:val="183E5B03"/>
    <w:rsid w:val="1896159F"/>
    <w:rsid w:val="19A704C2"/>
    <w:rsid w:val="19A741FA"/>
    <w:rsid w:val="1BEC5644"/>
    <w:rsid w:val="1C6C12A7"/>
    <w:rsid w:val="1D3F3968"/>
    <w:rsid w:val="204C7DFA"/>
    <w:rsid w:val="21662F05"/>
    <w:rsid w:val="21ED3B45"/>
    <w:rsid w:val="22B967CD"/>
    <w:rsid w:val="22E110D2"/>
    <w:rsid w:val="22E2686B"/>
    <w:rsid w:val="230C0252"/>
    <w:rsid w:val="27173710"/>
    <w:rsid w:val="284D1368"/>
    <w:rsid w:val="2C2B3683"/>
    <w:rsid w:val="2C836567"/>
    <w:rsid w:val="2D3C1E18"/>
    <w:rsid w:val="2E336784"/>
    <w:rsid w:val="2F634C98"/>
    <w:rsid w:val="2FD029A8"/>
    <w:rsid w:val="2FD1167E"/>
    <w:rsid w:val="318E4980"/>
    <w:rsid w:val="335715E3"/>
    <w:rsid w:val="33B23743"/>
    <w:rsid w:val="349F4E09"/>
    <w:rsid w:val="37ED6C72"/>
    <w:rsid w:val="3801634D"/>
    <w:rsid w:val="397F73F1"/>
    <w:rsid w:val="3A933578"/>
    <w:rsid w:val="3B361965"/>
    <w:rsid w:val="3C7E2E74"/>
    <w:rsid w:val="3CD91CEB"/>
    <w:rsid w:val="3EA155F2"/>
    <w:rsid w:val="41AA5F11"/>
    <w:rsid w:val="43570919"/>
    <w:rsid w:val="44111519"/>
    <w:rsid w:val="44581671"/>
    <w:rsid w:val="472C4339"/>
    <w:rsid w:val="48093144"/>
    <w:rsid w:val="4A366CA3"/>
    <w:rsid w:val="4E195F1D"/>
    <w:rsid w:val="4F7905D1"/>
    <w:rsid w:val="514357DA"/>
    <w:rsid w:val="527C510E"/>
    <w:rsid w:val="56562F98"/>
    <w:rsid w:val="58966C0D"/>
    <w:rsid w:val="5D097692"/>
    <w:rsid w:val="5E15111B"/>
    <w:rsid w:val="5E5648F7"/>
    <w:rsid w:val="60F125FD"/>
    <w:rsid w:val="61EB04C1"/>
    <w:rsid w:val="625869EA"/>
    <w:rsid w:val="63804BA4"/>
    <w:rsid w:val="65594967"/>
    <w:rsid w:val="662F23B5"/>
    <w:rsid w:val="695063C7"/>
    <w:rsid w:val="6AD077A7"/>
    <w:rsid w:val="6B761229"/>
    <w:rsid w:val="6BB80929"/>
    <w:rsid w:val="6C29094A"/>
    <w:rsid w:val="6D5B17BF"/>
    <w:rsid w:val="6EED6302"/>
    <w:rsid w:val="71AC72D9"/>
    <w:rsid w:val="72942FF3"/>
    <w:rsid w:val="72AF5F7B"/>
    <w:rsid w:val="72C64246"/>
    <w:rsid w:val="752605E7"/>
    <w:rsid w:val="75DF5721"/>
    <w:rsid w:val="77470352"/>
    <w:rsid w:val="77AA2F5A"/>
    <w:rsid w:val="780040FD"/>
    <w:rsid w:val="7A3A5111"/>
    <w:rsid w:val="7AB86F1A"/>
    <w:rsid w:val="7B1B5B59"/>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after="160" w:line="278" w:lineRule="auto"/>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7"/>
    <w:autoRedefine/>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7">
    <w:name w:val="Default Paragraph Font"/>
    <w:autoRedefine/>
    <w:semiHidden/>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spacing w:after="0" w:line="240" w:lineRule="auto"/>
      <w:ind w:firstLine="0" w:firstLineChars="0"/>
    </w:pPr>
    <w:rPr>
      <w:spacing w:val="10"/>
      <w:kern w:val="0"/>
    </w:rPr>
  </w:style>
  <w:style w:type="paragraph" w:styleId="6">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autoRedefine/>
    <w:qFormat/>
    <w:uiPriority w:val="0"/>
    <w:pPr>
      <w:widowControl/>
      <w:spacing w:before="100" w:beforeAutospacing="1" w:after="100" w:afterAutospacing="1"/>
    </w:pPr>
    <w:rPr>
      <w:rFonts w:cs="宋体"/>
      <w:kern w:val="0"/>
    </w:rPr>
  </w:style>
  <w:style w:type="paragraph" w:styleId="8">
    <w:name w:val="Body Text"/>
    <w:basedOn w:val="1"/>
    <w:link w:val="36"/>
    <w:autoRedefine/>
    <w:qFormat/>
    <w:uiPriority w:val="0"/>
    <w:pPr>
      <w:spacing w:after="120"/>
    </w:pPr>
  </w:style>
  <w:style w:type="paragraph" w:styleId="9">
    <w:name w:val="Body Text Indent"/>
    <w:basedOn w:val="1"/>
    <w:autoRedefine/>
    <w:qFormat/>
    <w:uiPriority w:val="0"/>
    <w:pPr>
      <w:spacing w:line="400" w:lineRule="exact"/>
      <w:ind w:firstLine="420"/>
    </w:pPr>
    <w:rPr>
      <w:szCs w:val="21"/>
    </w:rPr>
  </w:style>
  <w:style w:type="paragraph" w:styleId="10">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autoRedefine/>
    <w:qFormat/>
    <w:uiPriority w:val="0"/>
    <w:pPr>
      <w:widowControl/>
      <w:spacing w:before="100" w:beforeAutospacing="1" w:after="100" w:afterAutospacing="1"/>
    </w:pPr>
    <w:rPr>
      <w:rFonts w:cs="宋体"/>
      <w:kern w:val="0"/>
    </w:rPr>
  </w:style>
  <w:style w:type="paragraph" w:styleId="13">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autoRedefine/>
    <w:qFormat/>
    <w:uiPriority w:val="0"/>
    <w:pPr>
      <w:spacing w:line="360" w:lineRule="exact"/>
      <w:ind w:left="420"/>
    </w:pPr>
    <w:rPr>
      <w:szCs w:val="20"/>
    </w:rPr>
  </w:style>
  <w:style w:type="paragraph" w:styleId="15">
    <w:name w:val="endnote text"/>
    <w:basedOn w:val="1"/>
    <w:link w:val="60"/>
    <w:autoRedefine/>
    <w:qFormat/>
    <w:uiPriority w:val="0"/>
    <w:pPr>
      <w:snapToGrid w:val="0"/>
    </w:pPr>
  </w:style>
  <w:style w:type="paragraph" w:styleId="16">
    <w:name w:val="footer"/>
    <w:basedOn w:val="1"/>
    <w:link w:val="56"/>
    <w:autoRedefine/>
    <w:qFormat/>
    <w:uiPriority w:val="0"/>
    <w:pPr>
      <w:tabs>
        <w:tab w:val="center" w:pos="4153"/>
        <w:tab w:val="right" w:pos="8306"/>
      </w:tabs>
      <w:snapToGrid w:val="0"/>
    </w:pPr>
    <w:rPr>
      <w:sz w:val="18"/>
      <w:szCs w:val="18"/>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39"/>
  </w:style>
  <w:style w:type="paragraph" w:styleId="19">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20">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1">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2">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3">
    <w:name w:val="Normal (Web)"/>
    <w:basedOn w:val="1"/>
    <w:autoRedefine/>
    <w:unhideWhenUsed/>
    <w:qFormat/>
    <w:uiPriority w:val="99"/>
    <w:pPr>
      <w:widowControl/>
      <w:spacing w:before="100" w:beforeAutospacing="1" w:after="100" w:afterAutospacing="1"/>
    </w:pPr>
    <w:rPr>
      <w:rFonts w:cs="宋体"/>
      <w:kern w:val="0"/>
    </w:rPr>
  </w:style>
  <w:style w:type="paragraph" w:styleId="24">
    <w:name w:val="Title"/>
    <w:basedOn w:val="1"/>
    <w:next w:val="1"/>
    <w:link w:val="52"/>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autoRedefine/>
    <w:qFormat/>
    <w:uiPriority w:val="22"/>
    <w:rPr>
      <w:b/>
      <w:bCs/>
    </w:rPr>
  </w:style>
  <w:style w:type="character" w:styleId="29">
    <w:name w:val="endnote reference"/>
    <w:basedOn w:val="27"/>
    <w:autoRedefine/>
    <w:qFormat/>
    <w:uiPriority w:val="0"/>
    <w:rPr>
      <w:vertAlign w:val="superscript"/>
    </w:rPr>
  </w:style>
  <w:style w:type="character" w:styleId="30">
    <w:name w:val="page number"/>
    <w:basedOn w:val="27"/>
    <w:autoRedefine/>
    <w:qFormat/>
    <w:uiPriority w:val="0"/>
  </w:style>
  <w:style w:type="character" w:styleId="31">
    <w:name w:val="Hyperlink"/>
    <w:basedOn w:val="27"/>
    <w:autoRedefine/>
    <w:qFormat/>
    <w:uiPriority w:val="99"/>
    <w:rPr>
      <w:color w:val="0000FF"/>
      <w:u w:val="single"/>
    </w:rPr>
  </w:style>
  <w:style w:type="paragraph" w:customStyle="1" w:styleId="32">
    <w:name w:val="标题三"/>
    <w:basedOn w:val="5"/>
    <w:autoRedefine/>
    <w:qFormat/>
    <w:uiPriority w:val="0"/>
    <w:pPr>
      <w:spacing w:before="0" w:after="0" w:line="360" w:lineRule="auto"/>
      <w:ind w:firstLine="200"/>
    </w:pPr>
    <w:rPr>
      <w:sz w:val="28"/>
      <w:szCs w:val="24"/>
    </w:rPr>
  </w:style>
  <w:style w:type="paragraph" w:styleId="33">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4">
    <w:name w:val="样式 宋体 行距: 固定值 20 磅"/>
    <w:basedOn w:val="1"/>
    <w:autoRedefine/>
    <w:qFormat/>
    <w:uiPriority w:val="0"/>
    <w:pPr>
      <w:spacing w:line="360" w:lineRule="auto"/>
      <w:ind w:firstLine="200"/>
    </w:pPr>
    <w:rPr>
      <w:rFonts w:cs="宋体"/>
      <w:szCs w:val="20"/>
    </w:rPr>
  </w:style>
  <w:style w:type="paragraph" w:customStyle="1" w:styleId="35">
    <w:name w:val="Char Char Char Char"/>
    <w:basedOn w:val="1"/>
    <w:autoRedefine/>
    <w:qFormat/>
    <w:uiPriority w:val="0"/>
  </w:style>
  <w:style w:type="character" w:customStyle="1" w:styleId="36">
    <w:name w:val="正文文本 字符"/>
    <w:basedOn w:val="27"/>
    <w:link w:val="8"/>
    <w:autoRedefine/>
    <w:qFormat/>
    <w:uiPriority w:val="0"/>
    <w:rPr>
      <w:kern w:val="2"/>
      <w:sz w:val="21"/>
      <w:szCs w:val="24"/>
    </w:rPr>
  </w:style>
  <w:style w:type="paragraph" w:customStyle="1" w:styleId="37">
    <w:name w:val="Table Paragraph"/>
    <w:basedOn w:val="1"/>
    <w:autoRedefine/>
    <w:unhideWhenUsed/>
    <w:qFormat/>
    <w:uiPriority w:val="1"/>
    <w:pPr>
      <w:autoSpaceDE w:val="0"/>
      <w:autoSpaceDN w:val="0"/>
      <w:adjustRightInd w:val="0"/>
    </w:pPr>
    <w:rPr>
      <w:rFonts w:hint="eastAsia"/>
      <w:kern w:val="0"/>
      <w:szCs w:val="20"/>
    </w:rPr>
  </w:style>
  <w:style w:type="character" w:customStyle="1" w:styleId="38">
    <w:name w:val="font41"/>
    <w:basedOn w:val="27"/>
    <w:autoRedefine/>
    <w:qFormat/>
    <w:uiPriority w:val="0"/>
    <w:rPr>
      <w:rFonts w:hint="eastAsia" w:ascii="宋体" w:hAnsi="宋体" w:eastAsia="宋体"/>
      <w:color w:val="000000"/>
      <w:sz w:val="21"/>
      <w:szCs w:val="21"/>
      <w:u w:val="none"/>
    </w:rPr>
  </w:style>
  <w:style w:type="character" w:customStyle="1" w:styleId="39">
    <w:name w:val="font01"/>
    <w:basedOn w:val="27"/>
    <w:autoRedefine/>
    <w:qFormat/>
    <w:uiPriority w:val="0"/>
    <w:rPr>
      <w:rFonts w:hint="eastAsia" w:ascii="宋体" w:hAnsi="宋体" w:eastAsia="宋体"/>
      <w:color w:val="000000"/>
      <w:sz w:val="14"/>
      <w:szCs w:val="14"/>
      <w:u w:val="none"/>
    </w:rPr>
  </w:style>
  <w:style w:type="character" w:customStyle="1" w:styleId="40">
    <w:name w:val="font51"/>
    <w:basedOn w:val="27"/>
    <w:autoRedefine/>
    <w:qFormat/>
    <w:uiPriority w:val="0"/>
    <w:rPr>
      <w:rFonts w:hint="eastAsia" w:ascii="宋体" w:hAnsi="宋体" w:eastAsia="宋体"/>
      <w:color w:val="000000"/>
      <w:sz w:val="21"/>
      <w:szCs w:val="21"/>
      <w:u w:val="none"/>
    </w:rPr>
  </w:style>
  <w:style w:type="character" w:customStyle="1" w:styleId="41">
    <w:name w:val="未处理的提及1"/>
    <w:basedOn w:val="27"/>
    <w:autoRedefine/>
    <w:semiHidden/>
    <w:unhideWhenUsed/>
    <w:qFormat/>
    <w:uiPriority w:val="99"/>
    <w:rPr>
      <w:color w:val="605E5C"/>
      <w:shd w:val="clear" w:color="auto" w:fill="E1DFDD"/>
    </w:rPr>
  </w:style>
  <w:style w:type="paragraph" w:customStyle="1" w:styleId="42">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3">
    <w:name w:val="未处理的提及2"/>
    <w:basedOn w:val="27"/>
    <w:autoRedefine/>
    <w:semiHidden/>
    <w:unhideWhenUsed/>
    <w:qFormat/>
    <w:uiPriority w:val="99"/>
    <w:rPr>
      <w:rFonts w:ascii="Times New Roman" w:hAnsi="Times New Roman" w:eastAsia="宋体" w:cs="Times New Roman"/>
      <w:color w:val="605E5C"/>
      <w:shd w:val="clear" w:color="auto" w:fill="E1DFDD"/>
    </w:rPr>
  </w:style>
  <w:style w:type="character" w:customStyle="1" w:styleId="44">
    <w:name w:val="font21"/>
    <w:basedOn w:val="27"/>
    <w:autoRedefine/>
    <w:qFormat/>
    <w:uiPriority w:val="0"/>
    <w:rPr>
      <w:rFonts w:hint="eastAsia" w:ascii="宋体" w:hAnsi="宋体" w:eastAsia="宋体" w:cs="Times New Roman"/>
      <w:b/>
      <w:bCs/>
      <w:color w:val="000000"/>
      <w:sz w:val="21"/>
      <w:szCs w:val="21"/>
      <w:u w:val="none"/>
    </w:rPr>
  </w:style>
  <w:style w:type="character" w:customStyle="1" w:styleId="45">
    <w:name w:val="font11"/>
    <w:basedOn w:val="27"/>
    <w:autoRedefine/>
    <w:qFormat/>
    <w:uiPriority w:val="0"/>
    <w:rPr>
      <w:rFonts w:hint="eastAsia" w:ascii="宋体" w:hAnsi="宋体" w:eastAsia="宋体" w:cs="宋体"/>
      <w:b/>
      <w:color w:val="000000"/>
      <w:sz w:val="21"/>
      <w:szCs w:val="21"/>
      <w:u w:val="none"/>
    </w:rPr>
  </w:style>
  <w:style w:type="paragraph" w:customStyle="1" w:styleId="46">
    <w:name w:val="s16"/>
    <w:basedOn w:val="1"/>
    <w:autoRedefine/>
    <w:qFormat/>
    <w:uiPriority w:val="0"/>
    <w:pPr>
      <w:widowControl/>
      <w:spacing w:before="100" w:beforeAutospacing="1" w:after="100" w:afterAutospacing="1"/>
    </w:pPr>
    <w:rPr>
      <w:rFonts w:cs="宋体"/>
      <w:kern w:val="0"/>
    </w:rPr>
  </w:style>
  <w:style w:type="character" w:customStyle="1" w:styleId="47">
    <w:name w:val="标题 2 字符"/>
    <w:basedOn w:val="27"/>
    <w:link w:val="4"/>
    <w:autoRedefine/>
    <w:qFormat/>
    <w:uiPriority w:val="0"/>
    <w:rPr>
      <w:rFonts w:ascii="宋体" w:hAnsi="宋体" w:eastAsia="宋体" w:cs="宋体"/>
      <w:b/>
      <w:bCs/>
      <w:kern w:val="0"/>
      <w:sz w:val="36"/>
      <w:szCs w:val="36"/>
    </w:rPr>
  </w:style>
  <w:style w:type="character" w:customStyle="1" w:styleId="48">
    <w:name w:val="NormalCharacter"/>
    <w:semiHidden/>
    <w:qFormat/>
    <w:uiPriority w:val="0"/>
    <w:rPr>
      <w:rFonts w:ascii="Times New Roman" w:hAnsi="Times New Roman" w:eastAsia="宋体" w:cs="Times New Roman"/>
    </w:rPr>
  </w:style>
  <w:style w:type="paragraph" w:customStyle="1" w:styleId="49">
    <w:name w:val="PlainText"/>
    <w:basedOn w:val="1"/>
    <w:qFormat/>
    <w:uiPriority w:val="0"/>
    <w:rPr>
      <w:rFonts w:hAnsi="Courier New"/>
      <w:szCs w:val="20"/>
    </w:rPr>
  </w:style>
  <w:style w:type="character" w:customStyle="1" w:styleId="50">
    <w:name w:val="@标题1级 Char"/>
    <w:link w:val="51"/>
    <w:qFormat/>
    <w:locked/>
    <w:uiPriority w:val="99"/>
    <w:rPr>
      <w:rFonts w:ascii="黑体" w:hAnsi="黑体" w:eastAsia="黑体" w:cs="Times New Roman"/>
      <w:kern w:val="0"/>
      <w:sz w:val="36"/>
      <w:szCs w:val="20"/>
    </w:rPr>
  </w:style>
  <w:style w:type="paragraph" w:customStyle="1" w:styleId="51">
    <w:name w:val="@标题1级"/>
    <w:basedOn w:val="24"/>
    <w:link w:val="50"/>
    <w:qFormat/>
    <w:uiPriority w:val="99"/>
    <w:rPr>
      <w:rFonts w:ascii="黑体" w:hAnsi="黑体" w:eastAsia="黑体" w:cs="Times New Roman"/>
      <w:bCs w:val="0"/>
      <w:kern w:val="0"/>
      <w:sz w:val="36"/>
      <w:szCs w:val="20"/>
    </w:rPr>
  </w:style>
  <w:style w:type="character" w:customStyle="1" w:styleId="52">
    <w:name w:val="标题 字符"/>
    <w:basedOn w:val="27"/>
    <w:link w:val="24"/>
    <w:qFormat/>
    <w:uiPriority w:val="0"/>
    <w:rPr>
      <w:rFonts w:asciiTheme="majorHAnsi" w:hAnsiTheme="majorHAnsi" w:eastAsiaTheme="majorEastAsia" w:cstheme="majorBidi"/>
      <w:b/>
      <w:bCs/>
      <w:sz w:val="32"/>
      <w:szCs w:val="32"/>
    </w:rPr>
  </w:style>
  <w:style w:type="character" w:customStyle="1" w:styleId="53">
    <w:name w:val="font61"/>
    <w:basedOn w:val="27"/>
    <w:autoRedefine/>
    <w:qFormat/>
    <w:uiPriority w:val="0"/>
    <w:rPr>
      <w:rFonts w:hint="default" w:ascii="Times New Roman" w:hAnsi="Times New Roman" w:eastAsia="宋体" w:cs="Times New Roman"/>
      <w:color w:val="000000"/>
      <w:sz w:val="21"/>
      <w:szCs w:val="21"/>
      <w:u w:val="none"/>
    </w:rPr>
  </w:style>
  <w:style w:type="character" w:customStyle="1" w:styleId="54">
    <w:name w:val="font71"/>
    <w:basedOn w:val="27"/>
    <w:autoRedefine/>
    <w:qFormat/>
    <w:uiPriority w:val="0"/>
    <w:rPr>
      <w:rFonts w:hint="default" w:ascii="Times New Roman" w:hAnsi="Times New Roman" w:eastAsia="宋体" w:cs="Times New Roman"/>
      <w:b/>
      <w:color w:val="000000"/>
      <w:sz w:val="21"/>
      <w:szCs w:val="21"/>
      <w:u w:val="none"/>
    </w:rPr>
  </w:style>
  <w:style w:type="character" w:customStyle="1" w:styleId="55">
    <w:name w:val="font31"/>
    <w:basedOn w:val="27"/>
    <w:autoRedefine/>
    <w:qFormat/>
    <w:uiPriority w:val="0"/>
    <w:rPr>
      <w:rFonts w:ascii="PingFang-SC-Regular" w:hAnsi="PingFang-SC-Regular" w:eastAsia="PingFang-SC-Regular" w:cs="PingFang-SC-Regular"/>
      <w:color w:val="05073B"/>
      <w:sz w:val="23"/>
      <w:szCs w:val="23"/>
      <w:u w:val="none"/>
    </w:rPr>
  </w:style>
  <w:style w:type="character" w:customStyle="1" w:styleId="56">
    <w:name w:val="页脚 字符"/>
    <w:basedOn w:val="27"/>
    <w:link w:val="16"/>
    <w:autoRedefine/>
    <w:qFormat/>
    <w:uiPriority w:val="99"/>
    <w:rPr>
      <w:rFonts w:ascii="Times New Roman" w:hAnsi="Times New Roman" w:eastAsia="宋体" w:cs="Times New Roman"/>
      <w:sz w:val="18"/>
      <w:szCs w:val="18"/>
    </w:rPr>
  </w:style>
  <w:style w:type="character" w:customStyle="1" w:styleId="57">
    <w:name w:val="未处理的提及3"/>
    <w:basedOn w:val="27"/>
    <w:autoRedefine/>
    <w:semiHidden/>
    <w:unhideWhenUsed/>
    <w:qFormat/>
    <w:uiPriority w:val="99"/>
    <w:rPr>
      <w:color w:val="605E5C"/>
      <w:shd w:val="clear" w:color="auto" w:fill="E1DFDD"/>
    </w:rPr>
  </w:style>
  <w:style w:type="paragraph" w:customStyle="1" w:styleId="58">
    <w:name w:val="TOC 标题1"/>
    <w:basedOn w:val="3"/>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59">
    <w:name w:val="未处理的提及4"/>
    <w:basedOn w:val="27"/>
    <w:autoRedefine/>
    <w:semiHidden/>
    <w:unhideWhenUsed/>
    <w:qFormat/>
    <w:uiPriority w:val="99"/>
    <w:rPr>
      <w:color w:val="605E5C"/>
      <w:shd w:val="clear" w:color="auto" w:fill="E1DFDD"/>
    </w:rPr>
  </w:style>
  <w:style w:type="character" w:customStyle="1" w:styleId="60">
    <w:name w:val="尾注文本 字符"/>
    <w:basedOn w:val="27"/>
    <w:link w:val="15"/>
    <w:autoRedefine/>
    <w:qFormat/>
    <w:uiPriority w:val="0"/>
    <w:rPr>
      <w:rFonts w:ascii="宋体" w:hAnsi="宋体"/>
      <w:kern w:val="2"/>
      <w:sz w:val="24"/>
      <w:szCs w:val="24"/>
    </w:rPr>
  </w:style>
  <w:style w:type="character" w:customStyle="1" w:styleId="61">
    <w:name w:val="Unresolved Mention"/>
    <w:basedOn w:val="27"/>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A14AB7-5408-49D0-867B-51105BE947E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17</Pages>
  <Words>2322</Words>
  <Characters>13236</Characters>
  <Lines>110</Lines>
  <Paragraphs>31</Paragraphs>
  <TotalTime>26</TotalTime>
  <ScaleCrop>false</ScaleCrop>
  <LinksUpToDate>false</LinksUpToDate>
  <CharactersWithSpaces>15527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2024-05-11T13:35:00Z</dcterms:created>
  <dc:creator>吴增抱</dc:creator>
  <cp:lastModifiedBy>hexiiia</cp:lastModifiedBy>
  <cp:lastPrinted>2024-04-11T08:41:00Z</cp:lastPrinted>
  <dcterms:modified xsi:type="dcterms:W3CDTF">2024-06-07T12:00:31Z</dcterms:modified>
  <dc:title>时尚买手与营销课程标准</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4EB1175EB49043DB950798A01C8CBC48_13</vt:lpwstr>
  </property>
</Properties>
</file>