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汽车发动机电控技术</w:t>
      </w:r>
      <w:r>
        <w:rPr>
          <w:rFonts w:hint="eastAsia" w:ascii="黑体" w:eastAsia="黑体"/>
          <w:b/>
          <w:bCs w:val="0"/>
          <w:color w:val="000000"/>
          <w:sz w:val="32"/>
          <w:szCs w:val="32"/>
        </w:rPr>
        <w:t>》课程标准</w:t>
      </w:r>
    </w:p>
    <w:p>
      <w:pPr>
        <w:widowControl/>
        <w:wordWrap w:val="0"/>
        <w:spacing w:line="300" w:lineRule="auto"/>
        <w:jc w:val="center"/>
        <w:rPr>
          <w:rFonts w:hint="eastAsia" w:ascii="黑体" w:eastAsia="黑体"/>
          <w:b w:val="0"/>
          <w:bCs/>
          <w:color w:val="000000"/>
          <w:sz w:val="24"/>
          <w:szCs w:val="24"/>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课程名称：汽车发动机电控技术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课程编码：500211245</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适用专业：汽车检测与维修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课程学时：72学时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课程学分：4学分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汽车发动机电控技术》是汽车检测与维修专业的一门专业核心课程。本课程重点以汽车发动机电控系统的结构组成、工作原理、故障诊断维修为研究对象，将理论教学与实践教学融为一体，在学生了解和掌握汽车发动机电控系统理论知识的基础上，旨培养和锻炼学生掌握汽车发动机电控系统故障检测与诊断的方法及应用能力，能独立地处置汽车发动机电控系统技术问题；注重提升学生的职业素养和岗位能力。为后续汽车相关专业课程的学习作准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以汽车发动机电控系统技术为研究对象，运用课堂讲学、实验实训、实习运用等教学环节，使学生全面理解和掌握汽车发动机电控技术的电控喷射系统、空气供给系统、燃油供给系统、电子控制系统、排放控制系统、怠速控制系统等基本理论知识，会熟练使用各种汽车发动机电控技术检测维修专用仪器和工具，能够掌握汽车发动机电控系统故障的检测与检修的方法，并能排除故障，为以后从事汽车维修、销售、保险等工作打下坚实的基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课程以培养完成汽车发动机电控技术理论知识学习任务和培养汽车发动机电控技术故障诊断与维修岗位职业能力为导向，遵循以下教育教学理念。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1.终身学习的教育观：课程设计锚定学生终身发展必需“学会认知”“学会做事”“学会共同 生活”“学会生存”的教育观。以“学”为中心，强化学生自主学习，重视学生的学习权，实现“教 学”向“学习”转换，让学生学会学习，使受教育者成为自我教育者；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2.多元智能的学生观：课程设计尊重学生是一个多元智能的群体，具有不同禀赋的学生观。 依据个体智能结构差异特点，因材施教，努力发掘学习潜能，发展个性品质，让学习成为学生体验智慧开启、增强自信的快乐过程，使教学活动成为塑造成功者的教育过程；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3.建构主义的学习观：课程设计恪守知识是在一定的情境中，利用必要的学习资源与他人互 动主动建构获得的学习观。为学生创设适宜的学习情境，运用适宜的教法，提供丰富的学习资源， 使学生在师生互动、生生互动的过程中，主动地建构自己的经验和知识；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4.能力本位的质量观：课程设计注重培养学生完成课程学习任务的兴趣和提高汽车检测与维修职业能力 的质量观。通过知识构建过程系统化的课程学习，使学生在个人实践经验的基础上，完成“情境” “协作”“会话”和“意义建构”全过程，获得自我发展的内化的学习能力；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5.过程导向的课程观：课程设计以理论和实践一体化的工作过程为导向的课程观。构建“工 作过程完整”的学习过程，从汽车维修职业岗位工作出发选择课程内容，按照职业能力从易到难的顺 序安排教学，切实解决“怎么做”（经验）和“怎么做更好”（策略）的问题；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6.行动导向的教学观：课程设计强调工作过程与学习过程相统一的教学观。强化学生是行动 主体，遵循“资讯、计划、决策、实施、检查、评估”的完整“行动”过程，让学生“独立地获 取信息、制订和实施计划、检查评价成果”，建构属于自己的经验和知识体系。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课程依据上述设计理念，按照以下设计思路组织课程教学内容。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校企合作组织课程重构。与大众、比亚迪、江铃等汽车制造企业实行校企合作，共同组织课程内容的重组重构。利用学校和合作机构的资源，共同创设课程实施条件，共建共享型数字化课程教学资源，共同制订学生学习成效考核评价办法；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典型任务确定课程方案。以典型汽车和典型工作任务，构建工作过程系统化课程方案。通过典型工作任务分析，形成“典型工作任务、岗位职责任务和能力目标分析”结果，以“会什么”的能力为依据选择课程内容，并按照认知能力易难顺序安排教学；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理实交替实施课程教学。遵循理论联系实际的教学原则，组织理实交替的学习课堂。以认识现代发动机电控技术为学习起点，以教室、实训室为课堂，以实践为课程学习的支撑点，教学过程与故障诊断过程密切结合，使学生具备一定的职业经验、实践知识以及初步理论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课程目标注重工作任务。以汽车发动机电控系统故障诊断与排除工作任务与课程学习任务集成为学习性工作任务。通过“确定任务、制订计划、决策指导、实施计划、检查评估”等步骤，让学生掌握完整的工作过程，培养综合职业能力，并注重能力的表现性、可见性，注重培养可迁移的关键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旨在让学生掌握汽车发动机电控系统的结构、工作原理及检修知识，以及在此基础上掌握汽车发动机电子控制系统电路图的识图方法，为以后实际工作打下基础。同时，结合专业内容幵展课程思政，潜移默化地立德树人，培育具有高度的责任感、同情心、团结协作和奉献精神新时代中国特色社会主义的建设者和接班人。</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1.知识目标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通过课程学习，使学生逐渐具备以下知识和认知。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（1)掌握发动机上传感器的种类与检修方法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（2)掌握发动机电控单元的结构与检修方法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（3)掌握汽油发动机空气燃油供给系统的组成与检修方法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（4)掌握电控汽油喷射系统结构与检修方法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（5)了解缸内喷射发动机的原理与检修方法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（6)掌握汽油机的点火控制原理与检修方法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（7)掌握汽油机怠速控制原理与检修方法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（8)掌握汽油机的排放控制欲进气控制方法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（9)掌握电控发动机的自诊断功能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2.技能目标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通过课程学习，使学生逐渐具备以下能力或技能。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（1)具备与客户的交流与协商能力，能够向车主咨询车况，独立查询车辆技术档案，初步评定车辆技术状况。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（2)能根据故障情况独立制定维修计划，并能选择正确检测设备和仪器对发动机电控系统进行检测和维修。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（3)能对电控燃油喷射系统进行故障诊断并对零部件进行检修。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（4)能对点火控制系统进行故障诊断并对零部件进行检修。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（5)能对辅助控制系统进行故障诊断并对零部件进行检修。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（6)能对发动机综合故障进行诊断和分析。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（7)能正确使用万用表,故障诊断仪,示波器及发动机综合分析仪等常用检测和诊断设备。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（8)能够对传感器或相关部件的技术参数及波形信号进行分析。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（9)能检查修复后的发动机系统工作情况,并在汽车移交过程中向客户介绍已完成的工作。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3.素质目标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通过课程学习，使学生逐渐养成以下情感、态度和价值观。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（1)能与客户进行有效沟通，了解客户要求和车辆问题，有效处理客户异议。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（2)团队小组合作，实施诊断、检修保养作业计划。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（3)具有安全操作意识，掌握安全生产、环保等相关规定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（4)有良好的职业道德、工作态度和责任感</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五、教学内容与安排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依据汽车检测与维修专业培养目标和课程设计理念，教学内容设计贯彻以下教学原则：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1.启发引导原则：要求以学生为中心，充分调动学生的主动性和积极性，“启而能发，发而能 导，导而能活，活而不乱”，激发起学生积极的思维活动和主动学习的行为自觉；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2.循序渐进原则：要求教学内容要按照深浅程度由易到难，按照学生的年龄特征由浅入深、 循序渐进，因势利导，进而取得好的教学效果；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3.因材施教原则：要求按照教学目标，针对学生的不同禀赋、个性差异、知识水平、生活经 验、兴趣爱好，采取不同的教学措施，促进学生身心发展。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4.教学相长原则：要求教学过程形成师生互动，相互沟通，相互影响，相互补充的信息互动， 通过这种信息交流，实现共识、共享、共进。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5.量力而行原则：要求教学起点和终点要建立在学生通过一定的努力可能达到的知识水平和 智力发展水平上，并据此来确定教学知识的广度、难度和教学的进度。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（二）教学内容设计</w:t>
      </w:r>
    </w:p>
    <w:p>
      <w:pPr>
        <w:widowControl/>
        <w:spacing w:line="360" w:lineRule="atLeast"/>
        <w:jc w:val="center"/>
        <w:rPr>
          <w:rFonts w:hint="eastAsia" w:asciiTheme="minorEastAsia" w:hAnsiTheme="minorEastAsia" w:eastAsiaTheme="minorEastAsia" w:cstheme="minorEastAsia"/>
          <w:color w:val="000000"/>
          <w:kern w:val="0"/>
          <w:sz w:val="24"/>
          <w:szCs w:val="24"/>
        </w:rPr>
      </w:pPr>
      <w:r>
        <w:rPr>
          <w:rFonts w:hint="eastAsia" w:ascii="宋体" w:hAnsi="宋体" w:eastAsia="宋体" w:cs="宋体"/>
          <w:color w:val="000000"/>
          <w:kern w:val="0"/>
          <w:sz w:val="24"/>
          <w:szCs w:val="24"/>
          <w:lang w:val="en-US" w:eastAsia="zh-CN" w:bidi="ar"/>
        </w:rPr>
        <w:t>表1</w:t>
      </w:r>
    </w:p>
    <w:tbl>
      <w:tblPr>
        <w:tblStyle w:val="11"/>
        <w:tblW w:w="919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299"/>
        <w:gridCol w:w="966"/>
        <w:gridCol w:w="1582"/>
        <w:gridCol w:w="1699"/>
        <w:gridCol w:w="1702"/>
        <w:gridCol w:w="1448"/>
        <w:gridCol w:w="498"/>
        <w:gridCol w:w="498"/>
        <w:gridCol w:w="49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412" w:hRule="atLeast"/>
          <w:tblHeade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教学内容</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资格、技能等级考试与技能竞赛要点</w:t>
            </w:r>
          </w:p>
        </w:tc>
        <w:tc>
          <w:tcPr>
            <w:tcW w:w="0" w:type="auto"/>
            <w:vMerge w:val="restart"/>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0" w:type="auto"/>
            <w:vMerge w:val="restart"/>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技能目标</w:t>
            </w:r>
          </w:p>
        </w:tc>
        <w:tc>
          <w:tcPr>
            <w:tcW w:w="0" w:type="auto"/>
            <w:vMerge w:val="restart"/>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0" w:type="auto"/>
            <w:gridSpan w:val="3"/>
            <w:tcBorders>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参考学时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239" w:hRule="atLeast"/>
          <w:tblHeade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小计</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电控系统的认识</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传感器的基本认识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传感器的基本原理与检测方法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会检测传感器</w:t>
            </w:r>
          </w:p>
        </w:tc>
        <w:tc>
          <w:tcPr>
            <w:tcW w:w="0" w:type="auto"/>
            <w:tcBorders>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ECU的认识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知道ECU的基本功能</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能看懂ECU每一个引脚对应的功能</w:t>
            </w:r>
          </w:p>
        </w:tc>
        <w:tc>
          <w:tcPr>
            <w:tcW w:w="0" w:type="auto"/>
            <w:tcBorders>
              <w:top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常见仪器的使用</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汽车常见检测设备</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万用表、烙铁使用方法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进气故障检修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空气供给系统的组成及工作原理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掌握组成部分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空气供给系统的检修方法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进气系统部件的检修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所有部件的组成部分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检修的方法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电子节气门</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检修的方法</w:t>
            </w:r>
          </w:p>
        </w:tc>
        <w:tc>
          <w:tcPr>
            <w:tcW w:w="0" w:type="auto"/>
            <w:tcBorders>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可变配气相位系统的检修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基本的维修方法</w:t>
            </w:r>
          </w:p>
        </w:tc>
        <w:tc>
          <w:tcPr>
            <w:tcW w:w="0" w:type="auto"/>
            <w:tcBorders>
              <w:top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top"/>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bookmarkStart w:id="0" w:name="_GoBack" w:colFirst="6" w:colLast="8"/>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涡轮增压系统</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种类及增压的过程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简单的维护方法</w:t>
            </w:r>
          </w:p>
        </w:tc>
        <w:tc>
          <w:tcPr>
            <w:tcW w:w="0" w:type="auto"/>
            <w:tcBorders>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点火系统的检修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点火系统的认识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点火系统原理及点火提前角的控制</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点火系统的检修方法</w:t>
            </w:r>
          </w:p>
        </w:tc>
        <w:tc>
          <w:tcPr>
            <w:tcW w:w="0" w:type="auto"/>
            <w:tcBorders>
              <w:top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转速传感器等的认识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检测方法</w:t>
            </w:r>
          </w:p>
        </w:tc>
        <w:tc>
          <w:tcPr>
            <w:tcW w:w="0" w:type="auto"/>
            <w:tcBorders>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点火正时的故障检修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点火正时的调整方法</w:t>
            </w:r>
          </w:p>
        </w:tc>
        <w:tc>
          <w:tcPr>
            <w:tcW w:w="0" w:type="auto"/>
            <w:tcBorders>
              <w:top w:val="single" w:color="auto" w:sz="4" w:space="0"/>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点火系统的部件检修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点火系统的部件组成</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火花塞等的检修方法</w:t>
            </w:r>
          </w:p>
        </w:tc>
        <w:tc>
          <w:tcPr>
            <w:tcW w:w="0" w:type="auto"/>
            <w:tcBorders>
              <w:top w:val="single" w:color="auto" w:sz="4" w:space="0"/>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供油故障的检修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供油系统的认识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供油系统的部件组成</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供油系统的检修方法</w:t>
            </w:r>
          </w:p>
        </w:tc>
        <w:tc>
          <w:tcPr>
            <w:tcW w:w="0" w:type="auto"/>
            <w:tcBorders>
              <w:top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节气门位置等传感器的检修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传感器的工作原理</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传感器的检修方法</w:t>
            </w:r>
          </w:p>
        </w:tc>
        <w:tc>
          <w:tcPr>
            <w:tcW w:w="0" w:type="auto"/>
            <w:tcBorders>
              <w:bottom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供油系统的检修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供油系统的诊断思路</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供油系统的故障诊断方法</w:t>
            </w:r>
          </w:p>
        </w:tc>
        <w:tc>
          <w:tcPr>
            <w:tcW w:w="0" w:type="auto"/>
            <w:tcBorders>
              <w:top w:val="single" w:color="auto" w:sz="4" w:space="0"/>
            </w:tcBorders>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排放控制系统故障检修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汽车排放系统组成及工作过程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排放系统的组成及工作过程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排放系统的故障诊断 </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三元催化系统</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三元催化工作过程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三元催化的检修方法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EGR系统</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EGR系统的工作过程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EGR系统的检修方法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EVAP系统检修</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EVAP系统的工作过程</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EVAP系统的检修方法</w:t>
            </w:r>
          </w:p>
        </w:tc>
        <w:tc>
          <w:tcPr>
            <w:tcW w:w="0" w:type="auto"/>
            <w:noWrap w:val="0"/>
            <w:tcMar>
              <w:top w:w="0" w:type="dxa"/>
              <w:left w:w="108" w:type="dxa"/>
              <w:bottom w:w="0" w:type="dxa"/>
              <w:right w:w="108" w:type="dxa"/>
            </w:tcMar>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团队协作、良好的学习态度</w:t>
            </w:r>
          </w:p>
        </w:tc>
        <w:tc>
          <w:tcPr>
            <w:tcW w:w="0" w:type="auto"/>
            <w:tcBorders>
              <w:top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top w:val="single" w:color="auto" w:sz="4" w:space="0"/>
              <w:left w:val="single" w:color="auto" w:sz="4" w:space="0"/>
              <w:bottom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71" w:hRule="atLeast"/>
          <w:jc w:val="center"/>
        </w:trPr>
        <w:tc>
          <w:tcPr>
            <w:tcW w:w="0" w:type="auto"/>
            <w:gridSpan w:val="6"/>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合计</w:t>
            </w:r>
          </w:p>
        </w:tc>
        <w:tc>
          <w:tcPr>
            <w:tcW w:w="0" w:type="auto"/>
            <w:tcBorders>
              <w:top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72</w:t>
            </w:r>
          </w:p>
        </w:tc>
        <w:tc>
          <w:tcPr>
            <w:tcW w:w="0" w:type="auto"/>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48</w:t>
            </w:r>
          </w:p>
        </w:tc>
        <w:tc>
          <w:tcPr>
            <w:tcW w:w="0" w:type="auto"/>
            <w:tcBorders>
              <w:top w:val="single" w:color="auto" w:sz="4" w:space="0"/>
              <w:left w:val="single" w:color="auto" w:sz="4" w:space="0"/>
            </w:tcBorders>
            <w:noWrap w:val="0"/>
            <w:tcMar>
              <w:top w:w="0" w:type="dxa"/>
              <w:left w:w="108" w:type="dxa"/>
              <w:bottom w:w="0" w:type="dxa"/>
              <w:right w:w="108" w:type="dxa"/>
            </w:tcMar>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24</w:t>
            </w:r>
          </w:p>
        </w:tc>
      </w:tr>
      <w:bookmarkEnd w:id="0"/>
    </w:tbl>
    <w:tbl>
      <w:tblPr>
        <w:tblStyle w:val="12"/>
        <w:tblpPr w:leftFromText="180" w:rightFromText="180" w:vertAnchor="text" w:tblpX="15529" w:tblpY="-17097"/>
        <w:tblOverlap w:val="never"/>
        <w:tblW w:w="1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718"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6067" w:tblpY="-160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707"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529" w:tblpY="-154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324"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529" w:tblpY="-153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54"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529" w:tblpY="-17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282"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529" w:tblpY="-49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18"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529" w:tblpY="-69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73"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086" w:tblpY="-998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09"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146" w:tblpY="-50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954"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146" w:tblpY="-390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663"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tbl>
      <w:tblPr>
        <w:tblStyle w:val="12"/>
        <w:tblpPr w:leftFromText="180" w:rightFromText="180" w:vertAnchor="text" w:tblpX="15146" w:tblpY="-44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336" w:type="dxa"/>
          </w:tcPr>
          <w:p>
            <w:pPr>
              <w:pStyle w:val="17"/>
              <w:numPr>
                <w:ilvl w:val="0"/>
                <w:numId w:val="0"/>
              </w:numP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336" w:type="dxa"/>
          </w:tcPr>
          <w:p>
            <w:pPr>
              <w:pStyle w:val="17"/>
              <w:numPr>
                <w:ilvl w:val="0"/>
                <w:numId w:val="0"/>
              </w:numPr>
              <w:rPr>
                <w:rFonts w:hint="eastAsia" w:asciiTheme="minorEastAsia" w:hAnsiTheme="minorEastAsia" w:eastAsiaTheme="minorEastAsia" w:cstheme="minorEastAsia"/>
                <w:sz w:val="24"/>
                <w:szCs w:val="24"/>
                <w:vertAlign w:val="baseline"/>
              </w:rPr>
            </w:pP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本课程的考核标准依据课程目标确定，建立课程考核的“应知”“应会”体系（详见下表）。（注：“应知”侧重于知识考核，“应会”侧重能力考核，素质考核融入“应知”“应会”的内容中）</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color w:val="000000"/>
          <w:kern w:val="0"/>
          <w:sz w:val="24"/>
          <w:szCs w:val="24"/>
          <w:lang w:val="en-US" w:eastAsia="zh-CN" w:bidi="ar"/>
        </w:rPr>
        <w:t>表</w:t>
      </w:r>
      <w:r>
        <w:rPr>
          <w:rFonts w:hint="eastAsia" w:cs="宋体"/>
          <w:color w:val="000000"/>
          <w:kern w:val="0"/>
          <w:sz w:val="24"/>
          <w:szCs w:val="24"/>
          <w:lang w:val="en-US" w:eastAsia="zh-CN" w:bidi="ar"/>
        </w:rPr>
        <w:t>2</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汽车发动机电控技术</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课程考核标准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2315"/>
        <w:gridCol w:w="2694"/>
        <w:gridCol w:w="3262"/>
        <w:gridCol w:w="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序号</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教学单元</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应知</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应会</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项目一、电控汽油喷射系统的组成和工作原理</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电控汽油喷射系统的组成、分类、特点，以及控制原理</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汽油喷射部件的检修检测以及故障诊断和排除</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项目二、空气供给系统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空气供给系统部件的组成、结构和工作原理</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空气供给故障的诊断排除，空气供给系统部件的检测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项目三、燃油供给系统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燃油供给系统的组成、结构、特点和工作原理</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燃油供给故障的诊断排除，燃油供给系统部件的检测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项目四、电子控制系统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电子控制系统的主要部件的组成、结构和工作原理</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诊断仪器的使用，诊断和检测方法，对电子控制系统主要部件的检测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项目五、电控点火系统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电控点火系统的组成、工作原理，故障诊断和检修</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点火系统的故障诊断与排除，点火系统部件的检测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项目六、排放控制系统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排放系统的组成、种类、工作过程和诊断</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排放系统的故障诊断与排除，排放系统部件的检测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项目七、怠速控制系统</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怠速控制原理、控制形式和检修</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怠速控制系统故障诊断与排除，怠速控制系统部件的检测</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本课程采用过程考核、理论考核、技能考核方式进行。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1.过程考核：占课程总评成绩的40%。包括学生到课、课堂交流、实训练习、平时作业、阶段测练、期中考试等环节，由任课教师在课程教学过程中实施与评定；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2.理论考核：占课程总评成绩的20%。由教研室在课程结束时组织实施；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3.技能考核：占课程总评成绩的40%。由教研室制定汽车发动机电控技术考核方案，在课程时采用分组或个人抽签方式实施。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七、实施建议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选用国家“十三五”职业教育规划教材《汽车发动机电控技术》张西振主编，北京机械工业出版社，2022年10月第4版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（二）教学方法与手段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（1）传递-接受式：强调教师的指导作用，学生可以在课堂上接受大量的理论知识。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（2）问题-探究式：教师抛出典型汽车故障案例，以诊断与排除为线索，护生通过思考、实践、小组讨论等方式探究解决问题的方法，重点培养学生的学习能力和奉献精神。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（3）示范-模仿式：采用在实践技能教学上，通过老师的示范，学生观看后动手操作的方式，锻炼学生技能，达到教学目的。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（4）角色-情境式：运用角色扮演与工作情境相结合，培养学生分析问题和解决问题的能力。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本课程根据不同教学内容采用讲授法、任务驱动教学法、故障诊断讨论法、技能实训法。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本课程根据不同教学内容采用课堂多媒体教学、实训基地技能教学、校企联合教学等教学手段。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课程资源开发与利用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1.利用网络资源，通过浏览《基础护理学》网络精品课程，有针对性地学习相关内容；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w:t>
      </w: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"http://www.xuexi365.com/；"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http://www.xuexi365.com/；</w:t>
      </w:r>
      <w:r>
        <w:rPr>
          <w:rFonts w:hint="eastAsia" w:ascii="宋体" w:hAnsi="宋体" w:eastAsia="宋体" w:cs="宋体"/>
          <w:b w:val="0"/>
          <w:bCs/>
          <w:color w:val="000000"/>
          <w:kern w:val="0"/>
          <w:sz w:val="24"/>
          <w:szCs w:val="24"/>
          <w:lang w:val="en-US" w:eastAsia="zh-CN" w:bidi="ar-SA"/>
        </w:rPr>
        <w:fldChar w:fldCharType="end"/>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（3）中国大学 MOOC：https://www.icourse163.org/。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2.系统地制作和完善有关护理技能操作的视频录像，用于实训教学的示教和指导，提高学生 动手能力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八、编制说明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编写人：温桂林  教师               赣西科技职业学院材料与制造专业教研室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6"/>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8F30F3"/>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23A13DD"/>
    <w:rsid w:val="03B029CE"/>
    <w:rsid w:val="04994042"/>
    <w:rsid w:val="06A25465"/>
    <w:rsid w:val="075F7AB7"/>
    <w:rsid w:val="0B2C766D"/>
    <w:rsid w:val="0D267094"/>
    <w:rsid w:val="0ED924F7"/>
    <w:rsid w:val="13F27A1A"/>
    <w:rsid w:val="14B1436D"/>
    <w:rsid w:val="1570087D"/>
    <w:rsid w:val="17606A5A"/>
    <w:rsid w:val="183E5B03"/>
    <w:rsid w:val="19A704C2"/>
    <w:rsid w:val="19A741FA"/>
    <w:rsid w:val="1BAE2262"/>
    <w:rsid w:val="1E2A1B70"/>
    <w:rsid w:val="207812B9"/>
    <w:rsid w:val="21662F05"/>
    <w:rsid w:val="21ED3B45"/>
    <w:rsid w:val="22B967CD"/>
    <w:rsid w:val="22E110D2"/>
    <w:rsid w:val="25222A60"/>
    <w:rsid w:val="27173710"/>
    <w:rsid w:val="27F21CAC"/>
    <w:rsid w:val="284D1368"/>
    <w:rsid w:val="2C2B3683"/>
    <w:rsid w:val="2C836567"/>
    <w:rsid w:val="2E162111"/>
    <w:rsid w:val="2F634C98"/>
    <w:rsid w:val="318E4980"/>
    <w:rsid w:val="335715E3"/>
    <w:rsid w:val="33B23743"/>
    <w:rsid w:val="349F4E09"/>
    <w:rsid w:val="37ED6C72"/>
    <w:rsid w:val="3801634D"/>
    <w:rsid w:val="383E473E"/>
    <w:rsid w:val="397A79F8"/>
    <w:rsid w:val="397F73F1"/>
    <w:rsid w:val="3B361965"/>
    <w:rsid w:val="3C7E2E74"/>
    <w:rsid w:val="3C805325"/>
    <w:rsid w:val="3EBF7429"/>
    <w:rsid w:val="3EDE27D7"/>
    <w:rsid w:val="40C36FFF"/>
    <w:rsid w:val="4139537D"/>
    <w:rsid w:val="415F6038"/>
    <w:rsid w:val="44111519"/>
    <w:rsid w:val="45A007E6"/>
    <w:rsid w:val="497D499A"/>
    <w:rsid w:val="4ACF15F6"/>
    <w:rsid w:val="4BA821C0"/>
    <w:rsid w:val="4C1830D1"/>
    <w:rsid w:val="4E195F1D"/>
    <w:rsid w:val="4E8C5A91"/>
    <w:rsid w:val="4F46706B"/>
    <w:rsid w:val="4F7905D1"/>
    <w:rsid w:val="52BB5BF9"/>
    <w:rsid w:val="56562F98"/>
    <w:rsid w:val="56F33BFE"/>
    <w:rsid w:val="592C5812"/>
    <w:rsid w:val="59CE7B28"/>
    <w:rsid w:val="5E15111B"/>
    <w:rsid w:val="5EB16D69"/>
    <w:rsid w:val="61226DBD"/>
    <w:rsid w:val="61EB04C1"/>
    <w:rsid w:val="63804BA4"/>
    <w:rsid w:val="695063C7"/>
    <w:rsid w:val="6C29094A"/>
    <w:rsid w:val="6D5B17BF"/>
    <w:rsid w:val="6EED6302"/>
    <w:rsid w:val="6FF716B4"/>
    <w:rsid w:val="71AC72D9"/>
    <w:rsid w:val="72942FF3"/>
    <w:rsid w:val="72AF5F7B"/>
    <w:rsid w:val="760D1667"/>
    <w:rsid w:val="77470352"/>
    <w:rsid w:val="780040FD"/>
    <w:rsid w:val="7AB86F1A"/>
    <w:rsid w:val="7CA85FD9"/>
    <w:rsid w:val="7E6D36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4081</Words>
  <Characters>4144</Characters>
  <Lines>3</Lines>
  <Paragraphs>1</Paragraphs>
  <TotalTime>1</TotalTime>
  <ScaleCrop>false</ScaleCrop>
  <LinksUpToDate>false</LinksUpToDate>
  <CharactersWithSpaces>4175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2023-11-29T03:19:38Z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220267E3EA7742458765E6A2BADB237C_13</vt:lpwstr>
  </property>
</Properties>
</file>