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wordWrap w:val="0"/>
        <w:spacing w:line="300" w:lineRule="auto"/>
        <w:jc w:val="center"/>
        <w:rPr>
          <w:rFonts w:hint="eastAsia" w:ascii="黑体" w:eastAsia="黑体"/>
          <w:b/>
          <w:bCs w:val="0"/>
          <w:color w:val="000000"/>
          <w:sz w:val="32"/>
          <w:szCs w:val="32"/>
        </w:rPr>
      </w:pPr>
      <w:r>
        <w:rPr>
          <w:rFonts w:hint="eastAsia" w:ascii="黑体" w:eastAsia="黑体"/>
          <w:b/>
          <w:bCs w:val="0"/>
          <w:color w:val="000000"/>
          <w:sz w:val="32"/>
          <w:szCs w:val="32"/>
        </w:rPr>
        <w:t>《</w:t>
      </w:r>
      <w:r>
        <w:rPr>
          <w:rFonts w:hint="eastAsia" w:ascii="黑体" w:eastAsia="黑体"/>
          <w:b/>
          <w:bCs w:val="0"/>
          <w:color w:val="000000"/>
          <w:sz w:val="32"/>
          <w:szCs w:val="32"/>
          <w:lang w:val="en-US" w:eastAsia="zh-CN"/>
        </w:rPr>
        <w:t>汽车电气设备检修</w:t>
      </w:r>
      <w:r>
        <w:rPr>
          <w:rFonts w:hint="eastAsia" w:ascii="黑体" w:eastAsia="黑体"/>
          <w:b/>
          <w:bCs w:val="0"/>
          <w:color w:val="000000"/>
          <w:sz w:val="32"/>
          <w:szCs w:val="32"/>
        </w:rPr>
        <w:t>》课程标准</w:t>
      </w:r>
    </w:p>
    <w:p>
      <w:pPr>
        <w:widowControl/>
        <w:wordWrap w:val="0"/>
        <w:spacing w:line="300" w:lineRule="auto"/>
        <w:jc w:val="center"/>
        <w:rPr>
          <w:rFonts w:hint="eastAsia" w:ascii="黑体" w:eastAsia="黑体"/>
          <w:b w:val="0"/>
          <w:bCs/>
          <w:color w:val="000000"/>
          <w:sz w:val="32"/>
          <w:szCs w:val="32"/>
        </w:rPr>
      </w:pP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一、课程信息</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课程名称：汽车电气设备检修</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课程编码：500211234</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适用专业：汽车检测与维修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课程学时：72学时</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课程学分：4学分</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二、课程定位</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（一）课程性质</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汽车电气设备检修》是汽车检测与维修专业的一门专业核心课程。本课程重点以汽车电气设备的结构组成、工作原理、故障诊断维修为研究对象，将理论教学与实践教学融为一体，主要培养学生了解和掌握电气设备的结构组成工作原理，利用现代诊断和检测设备进行电气设备故障诊断、故障分析、零部件检测及维修更换等专业能力，为培育服务社会技能性人才作铺垫。也为后续专业课程的学习奠定良好的基础。</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（二）课程任务</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以现代汽车的电气系统为主要研究对象，通过理论教学、实验、实习等教学环节，使学生掌握汽车上使用的蓄电池、发电机、起动机、点火系、照明与信号系统、仪表报警灯与显示装置、汽车辅助电器等电器设备的结构、工作原理、使用与维护，调试与检测，故障诊断及维修方法，并在此基础上掌握整车电路图的识图方法与故障诊断程序，使学生掌握各种工具、仪器的使用方法，能够独立的进行汽车电器的拆装与检修。提高学生分析问题、解决问题的能力，实际动手能力和解决问题的能力。为社会输送具有良好的职业道德和情感，创新意识和奉献社会精神的合格人才。</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三、课程设计</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（一）设计理念</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课程以完成汽车电气设备理论知识学习任务和培养汽车电气设备维护检修技术岗位职业能力为导向，遵循以下教育教学理念。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1.终身学习的教育观：课程设计锚定学生终身发展必需“学会认知”“学会做事”、“学会共同生活”、“学会生存”的教育观。以“学”为中心，强化学生自主学习，重视学生的学习权，实现“教 学”向“学习”转换，让学生学会学习，使受教育者成为自我教育者；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2.多元智能的学生观：课程设计尊重学生是一个多元智能的群体，具有不同禀赋的学生观。 依据个体智能结构差异特点，因材施教，努力发掘学习潜能，发展个性品质，让学习成为学生体 验智慧开启、增强自信的快乐过程，使教学活动成为塑造成功者的教育过程；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3.建构主义的学习观：课程设计恪守知识是在一定的情境中，利用必要的学习资源与他人互 动主动建构获得的学习观。为学生创设适宜的学习情境，运用适宜的教法，提供丰富的学习资源， 使学生在师生互动、生生互动的过程中，主动地建构自己的经验和知识；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4.能力本位的质量观：课程设计注重培养学生完成课程学习任务的兴趣和提高汽车电气设备维护检修技术岗位职业能力 的质量观。通过知识构建过程系统化的课程学习，使学生在个人实践经验的基础上，完成“情境” “协作”“会话”和“意义建构”全过程，获得自我发展的内化的学习能力；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5.过程导向的课程观：课程设计以理论和实践一体化的工作过程为导向的课程观。构建“工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作过程完整”的学习过程，从汽车电气设备维护检修技术职业岗位工作出发选择课程内容，按照职业能力从易到难的顺 序安排教学，切实解决“怎么做”（经验）和“怎么做更好”（策略）的问题；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6.行动导向的教学观：课程设计强调工作过程与学习过程相统一的教学观。强化学生是行动 主体，遵循“资讯、计划、决策、实施、检查、评估”的完整“行动”过程，让学生“独立地获 取信息、制订和实施计划、检查评价成果”，建构属于自己的经验和知识体系。</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（二）设计思路</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课程依据上述设计理念，按照以下设计思路组织课程教学内容。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1.校企合作组织课程重构。与江铃、大众、比亚迪等汽车制造企业开展校企合作，共同组织课程内容的重 组重构。利用学校和合作机构的资源，共同创设课程实施条件，共建共享型数字化课程教学资源， 共同制订学生学习成效考核评价办法；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2.典型任务确定课程方案。以典型汽车和典型故障案例为主体，分析汽车电气设备的典型工作任务，构建工作过程系统化课程方 案。通过典型工作任务分析，形成“典型工作任务、岗位职责任务和能力目标分析”结果，以“会 什么”的能力为依据选择课程内容，并按照认知能力易难顺序安排教学；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3.理实交替实施课程教学。遵循理论联系实际的教学原则，组织理实交替的学习课堂。以认 识汽车电气设备为学习起点，以教室、实训室为课堂，以实践为课程学习的支撑点，教学过程与技能实训操作过程密切结合，使学生具备一定的职业经验、实践知识以及初步汽车电气设备维护检修技术；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4.课程目标注重工作任务。以电气设备故障检测处置工作任务与课程学习任务集成为学习性工作任务。通过“确 定任务、制订计划、决策指导、实施计划、检查评估”等步骤，让学生掌握完整的工作过程，培 养综合职业能力，并注重能力的表现性、可见性，注重培养可迁移的关键能力；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5.项目工作引领情境学习。以具有挑战性并促使工作能力提高的项目工作任务为导向，精心 创设学习情境。有针对性设计学习与工作合为一体的课程学习环节，注重学生学习者角色，在完 成项目任务的过程中，实现理论、实践一体化学习和相关学科知识一体化学习。</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四、课程目标</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（一）总体目标</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熟悉和掌握汽车电气系统的结构、工作原理、检测调试、使用、维护和维修、故障判断和排除，电路图的阅读方法，并结合汽车发展动态，介绍汽车电气系统的新技术、新结构。</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（二）具体目标</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1.素质目标：</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（1)具有较好的行为规范能力和职业道德；</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 具有较强的组织协调能力和团结协作能力；</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（3)具有较强的语言表达能力和与人沟通的能力；</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（4)具有较强的质量意识和客户服务意识；</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（5)具有较强的心理素质和克服困难的能力；</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（6)具备逐步掌握和不断提高搜集、整理、运用社会信息的方法和技能，具有独立思考、提出疑问和进行反思的能力。</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2.知识目标：</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（1)掌握常见汽车电气设备的结构和基本工作原理；</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（2)掌握汽车电气设备的使用、维护及故障分析的知识；</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（3)了解汽车电气设备的新产品和新技术；</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（4)能读懂汽车电路图，能用电路图分析汽车电路的基本工作情况；</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（5)掌握汽车常用电气设备的拆装和检修方法；</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（6)掌握常见汽车电路故障的诊断和排除方法；</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（7)能正确使用汽车电气设备维修中常用的工具、设备、仪器和仪表。</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3.能力目标：</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（1)能够识读全车电路图；</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（2)能够拆装各汽车电气设备∶电源系统、起动系统、点火系、照明与信号系统、汽车仪表系统、汽车辅助电气设备、汽车空调等；</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（3)能够根据车辆故障现象正确分析、推断可能的故障原因；</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（4)能够对各部件及线路实施检查并确认故障部件；</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（5)能够排除各类汽车电气故障；</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（6)能够对已完成的任务进行记录、存档和评价反馈。</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五、教学内容与安排</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（一）教学内容设计原则</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依据汽车检测与维修专业培养目标和课程设计理念，教学内容设计贯彻以下教学原则：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1.启发引导原则：要求以学生为中心，充分调动学生的主动性和积极性，“启而能发，发而能 导，导而能活，活而不乱”，激发起学生积极的思维活动和主动学习的行为自觉；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2.循序渐进原则：要求教学内容要按照深浅程度由易到难，按照学生的年龄特征由浅入深、 循序渐进，因势利导，进而取得好的教学效果；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3.因材施教原则：要求按照教学目标，针对学生的不同禀赋、个性差异、知识水平、生活经 验、兴趣爱好，采取不同的教学措施，促进学生身心发展。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4.教学相长原则：要求教学过程形成师生互动，相互沟通，相互影响，相互补充的信息互动， 通过这种信息交流，实现共识、共享、共进。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5.量力而行原则：要求教学起点和终点要建立在学生通过一定的努力可能达到的知识水平和 智力发展水平上，并据此来确定教学知识的广度、难度和教学的进度。</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（二）教学内容设计</w:t>
      </w:r>
    </w:p>
    <w:p>
      <w:pPr>
        <w:pStyle w:val="7"/>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240" w:lineRule="auto"/>
        <w:jc w:val="center"/>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color w:val="000000"/>
          <w:kern w:val="0"/>
          <w:sz w:val="24"/>
          <w:szCs w:val="24"/>
          <w:lang w:val="en-US" w:eastAsia="zh-CN" w:bidi="ar"/>
        </w:rPr>
        <w:t>表1</w:t>
      </w:r>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50"/>
        <w:gridCol w:w="815"/>
        <w:gridCol w:w="1577"/>
        <w:gridCol w:w="1577"/>
        <w:gridCol w:w="1814"/>
        <w:gridCol w:w="1704"/>
        <w:gridCol w:w="450"/>
        <w:gridCol w:w="450"/>
        <w:gridCol w:w="45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0" w:type="auto"/>
            <w:vMerge w:val="restart"/>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序号</w:t>
            </w:r>
          </w:p>
        </w:tc>
        <w:tc>
          <w:tcPr>
            <w:tcW w:w="0" w:type="auto"/>
            <w:vMerge w:val="restart"/>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教学内容</w:t>
            </w:r>
          </w:p>
        </w:tc>
        <w:tc>
          <w:tcPr>
            <w:tcW w:w="0" w:type="auto"/>
            <w:vMerge w:val="restart"/>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资格、技能等级考试与技能竞赛要点</w:t>
            </w:r>
          </w:p>
        </w:tc>
        <w:tc>
          <w:tcPr>
            <w:tcW w:w="0" w:type="auto"/>
            <w:vMerge w:val="restart"/>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素质目标</w:t>
            </w:r>
          </w:p>
        </w:tc>
        <w:tc>
          <w:tcPr>
            <w:tcW w:w="0" w:type="auto"/>
            <w:vMerge w:val="restart"/>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知识目标</w:t>
            </w:r>
          </w:p>
        </w:tc>
        <w:tc>
          <w:tcPr>
            <w:tcW w:w="0" w:type="auto"/>
            <w:vMerge w:val="restart"/>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能力目标</w:t>
            </w:r>
          </w:p>
        </w:tc>
        <w:tc>
          <w:tcPr>
            <w:tcW w:w="0" w:type="auto"/>
            <w:gridSpan w:val="3"/>
            <w:tcBorders>
              <w:bottom w:val="single" w:color="auto"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参考学时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0" w:type="auto"/>
            <w:vMerge w:val="continue"/>
            <w:noWrap w:val="0"/>
            <w:vAlign w:val="center"/>
          </w:tcPr>
          <w:p>
            <w:pPr>
              <w:jc w:val="center"/>
              <w:rPr>
                <w:rFonts w:hint="eastAsia" w:ascii="宋体" w:hAnsi="宋体" w:eastAsia="宋体" w:cs="宋体"/>
                <w:b w:val="0"/>
                <w:bCs w:val="0"/>
                <w:sz w:val="21"/>
                <w:szCs w:val="21"/>
                <w:lang w:val="en-US" w:eastAsia="zh-CN"/>
              </w:rPr>
            </w:pPr>
          </w:p>
        </w:tc>
        <w:tc>
          <w:tcPr>
            <w:tcW w:w="0" w:type="auto"/>
            <w:vMerge w:val="continue"/>
            <w:noWrap w:val="0"/>
            <w:vAlign w:val="center"/>
          </w:tcPr>
          <w:p>
            <w:pPr>
              <w:jc w:val="center"/>
              <w:rPr>
                <w:rFonts w:hint="eastAsia" w:ascii="宋体" w:hAnsi="宋体" w:eastAsia="宋体" w:cs="宋体"/>
                <w:b w:val="0"/>
                <w:bCs w:val="0"/>
                <w:sz w:val="21"/>
                <w:szCs w:val="21"/>
                <w:lang w:val="en-US" w:eastAsia="zh-CN"/>
              </w:rPr>
            </w:pPr>
          </w:p>
        </w:tc>
        <w:tc>
          <w:tcPr>
            <w:tcW w:w="0" w:type="auto"/>
            <w:vMerge w:val="continue"/>
            <w:noWrap w:val="0"/>
            <w:vAlign w:val="center"/>
          </w:tcPr>
          <w:p>
            <w:pPr>
              <w:jc w:val="center"/>
              <w:rPr>
                <w:rFonts w:hint="eastAsia" w:ascii="宋体" w:hAnsi="宋体" w:eastAsia="宋体" w:cs="宋体"/>
                <w:b w:val="0"/>
                <w:bCs w:val="0"/>
                <w:sz w:val="21"/>
                <w:szCs w:val="21"/>
                <w:lang w:val="en-US" w:eastAsia="zh-CN"/>
              </w:rPr>
            </w:pPr>
          </w:p>
        </w:tc>
        <w:tc>
          <w:tcPr>
            <w:tcW w:w="0" w:type="auto"/>
            <w:vMerge w:val="continue"/>
            <w:noWrap w:val="0"/>
            <w:vAlign w:val="center"/>
          </w:tcPr>
          <w:p>
            <w:pPr>
              <w:jc w:val="center"/>
              <w:rPr>
                <w:rFonts w:hint="eastAsia" w:ascii="宋体" w:hAnsi="宋体" w:eastAsia="宋体" w:cs="宋体"/>
                <w:b w:val="0"/>
                <w:bCs w:val="0"/>
                <w:sz w:val="21"/>
                <w:szCs w:val="21"/>
                <w:lang w:val="en-US" w:eastAsia="zh-CN"/>
              </w:rPr>
            </w:pPr>
          </w:p>
        </w:tc>
        <w:tc>
          <w:tcPr>
            <w:tcW w:w="0" w:type="auto"/>
            <w:vMerge w:val="continue"/>
            <w:noWrap w:val="0"/>
            <w:vAlign w:val="center"/>
          </w:tcPr>
          <w:p>
            <w:pPr>
              <w:jc w:val="center"/>
              <w:rPr>
                <w:rFonts w:hint="eastAsia" w:ascii="宋体" w:hAnsi="宋体" w:eastAsia="宋体" w:cs="宋体"/>
                <w:b w:val="0"/>
                <w:bCs w:val="0"/>
                <w:sz w:val="21"/>
                <w:szCs w:val="21"/>
                <w:lang w:val="en-US" w:eastAsia="zh-CN"/>
              </w:rPr>
            </w:pPr>
          </w:p>
        </w:tc>
        <w:tc>
          <w:tcPr>
            <w:tcW w:w="0" w:type="auto"/>
            <w:vMerge w:val="continue"/>
            <w:noWrap w:val="0"/>
            <w:vAlign w:val="center"/>
          </w:tcPr>
          <w:p>
            <w:pPr>
              <w:jc w:val="center"/>
              <w:rPr>
                <w:rFonts w:hint="eastAsia" w:ascii="宋体" w:hAnsi="宋体" w:eastAsia="宋体" w:cs="宋体"/>
                <w:b w:val="0"/>
                <w:bCs w:val="0"/>
                <w:sz w:val="21"/>
                <w:szCs w:val="21"/>
                <w:lang w:val="en-US" w:eastAsia="zh-CN"/>
              </w:rPr>
            </w:pPr>
          </w:p>
        </w:tc>
        <w:tc>
          <w:tcPr>
            <w:tcW w:w="0" w:type="auto"/>
            <w:tcBorders>
              <w:top w:val="single" w:color="auto" w:sz="4" w:space="0"/>
              <w:right w:val="single" w:color="auto"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小计</w:t>
            </w:r>
          </w:p>
        </w:tc>
        <w:tc>
          <w:tcPr>
            <w:tcW w:w="0" w:type="auto"/>
            <w:tcBorders>
              <w:top w:val="single" w:color="auto" w:sz="4" w:space="0"/>
              <w:left w:val="single" w:color="auto" w:sz="4" w:space="0"/>
              <w:right w:val="single" w:color="auto"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理论</w:t>
            </w:r>
          </w:p>
        </w:tc>
        <w:tc>
          <w:tcPr>
            <w:tcW w:w="0" w:type="auto"/>
            <w:tcBorders>
              <w:top w:val="single" w:color="auto" w:sz="4" w:space="0"/>
              <w:left w:val="single" w:color="auto"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实践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0" w:type="auto"/>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w:t>
            </w:r>
          </w:p>
        </w:tc>
        <w:tc>
          <w:tcPr>
            <w:tcW w:w="0" w:type="auto"/>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项目一汽车电气系统认知</w:t>
            </w: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安全操作要领；</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操作动作规范；</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汽车常用工具使用、电路图的识读原则和方法。</w:t>
            </w: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1）安全操作要领；</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2）操作动作规范；</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3）汽车常用工具使用、电路图的识读原则和方法。</w:t>
            </w: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熟悉和掌握汽车常用工具的使用、电路图的识读原则和方法。</w:t>
            </w: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会正确使用汽车常用工具和识读电路图。</w:t>
            </w:r>
          </w:p>
        </w:tc>
        <w:tc>
          <w:tcPr>
            <w:tcW w:w="0" w:type="auto"/>
            <w:tcBorders>
              <w:right w:val="single" w:color="auto"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c>
          <w:tcPr>
            <w:tcW w:w="0" w:type="auto"/>
            <w:tcBorders>
              <w:left w:val="single" w:color="auto" w:sz="4" w:space="0"/>
              <w:right w:val="single" w:color="auto"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w:t>
            </w:r>
          </w:p>
        </w:tc>
        <w:tc>
          <w:tcPr>
            <w:tcW w:w="0" w:type="auto"/>
            <w:tcBorders>
              <w:left w:val="single" w:color="auto"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0" w:type="auto"/>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w:t>
            </w:r>
          </w:p>
        </w:tc>
        <w:tc>
          <w:tcPr>
            <w:tcW w:w="0" w:type="auto"/>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项目二汽车电源系统</w:t>
            </w: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1）安全操作要领；</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2）操作动作规范；</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3）电源系统各组成的构件、原理、维护使用、和诊断检修。</w:t>
            </w: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1）安全操作要领；</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2）操作动作规范；</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3）电源系统各组成的构件、原理、维护使用、和诊断检修。</w:t>
            </w: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熟悉和掌握汽车电源系统各部件的结构、原理、工作过程、以及诊断检修。</w:t>
            </w: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能够正确使用和维护蓄电池、交流发电机、电压调节器，并会检修故障。</w:t>
            </w:r>
          </w:p>
        </w:tc>
        <w:tc>
          <w:tcPr>
            <w:tcW w:w="0" w:type="auto"/>
            <w:tcBorders>
              <w:right w:val="single" w:color="auto"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w:t>
            </w:r>
          </w:p>
        </w:tc>
        <w:tc>
          <w:tcPr>
            <w:tcW w:w="0" w:type="auto"/>
            <w:tcBorders>
              <w:left w:val="single" w:color="auto" w:sz="4" w:space="0"/>
              <w:right w:val="single" w:color="auto"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6</w:t>
            </w:r>
          </w:p>
        </w:tc>
        <w:tc>
          <w:tcPr>
            <w:tcW w:w="0" w:type="auto"/>
            <w:tcBorders>
              <w:left w:val="single" w:color="auto"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0" w:type="auto"/>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w:t>
            </w:r>
          </w:p>
        </w:tc>
        <w:tc>
          <w:tcPr>
            <w:tcW w:w="0" w:type="auto"/>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项目三汽车启动系统</w:t>
            </w: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1）安全操作要领；</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2）操作动作规范；</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3）启动系统的组成、原理检测与更换、故障诊断与排除。</w:t>
            </w: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1）安全操作要领；</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2）操作动作规范；</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3）启动系统的组成、原理、检测与更换、故障诊断与排除。</w:t>
            </w: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熟悉和掌握启动系统的组成、结构、原理，以及故障诊断与排除。</w:t>
            </w: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会就车检测与更换启动机，能够对启动系统的故障进行诊断与排除。</w:t>
            </w:r>
          </w:p>
        </w:tc>
        <w:tc>
          <w:tcPr>
            <w:tcW w:w="0" w:type="auto"/>
            <w:tcBorders>
              <w:right w:val="single" w:color="auto"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w:t>
            </w:r>
          </w:p>
        </w:tc>
        <w:tc>
          <w:tcPr>
            <w:tcW w:w="0" w:type="auto"/>
            <w:tcBorders>
              <w:left w:val="single" w:color="auto" w:sz="4" w:space="0"/>
              <w:right w:val="single" w:color="auto"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6</w:t>
            </w:r>
          </w:p>
        </w:tc>
        <w:tc>
          <w:tcPr>
            <w:tcW w:w="0" w:type="auto"/>
            <w:tcBorders>
              <w:left w:val="single" w:color="auto"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0" w:type="auto"/>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c>
          <w:tcPr>
            <w:tcW w:w="0" w:type="auto"/>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项目四汽车照明与信号系统</w:t>
            </w: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1）安全操作要领；</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2）操作动作规范；</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3）汽车照明与信号系统的组成、原理、电路、故障诊断与检修。</w:t>
            </w: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1）安全操作要领；</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2）操作动作规范；</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3）汽车照明与信号系统的组成、原理、电路、故障诊断与检修。</w:t>
            </w: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熟悉和掌握照明与信号系统的电路图，各部件的结构与原理，故障诊断与维修。</w:t>
            </w: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能够根据照明与信号电路图对故障进行诊断与排除。</w:t>
            </w:r>
          </w:p>
        </w:tc>
        <w:tc>
          <w:tcPr>
            <w:tcW w:w="0" w:type="auto"/>
            <w:tcBorders>
              <w:right w:val="single" w:color="auto"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8</w:t>
            </w:r>
          </w:p>
        </w:tc>
        <w:tc>
          <w:tcPr>
            <w:tcW w:w="0" w:type="auto"/>
            <w:tcBorders>
              <w:left w:val="single" w:color="auto" w:sz="4" w:space="0"/>
              <w:right w:val="single" w:color="auto"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6</w:t>
            </w:r>
          </w:p>
        </w:tc>
        <w:tc>
          <w:tcPr>
            <w:tcW w:w="0" w:type="auto"/>
            <w:tcBorders>
              <w:left w:val="single" w:color="auto"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0" w:type="auto"/>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w:t>
            </w:r>
          </w:p>
        </w:tc>
        <w:tc>
          <w:tcPr>
            <w:tcW w:w="0" w:type="auto"/>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项目五汽车仪表与报警系统</w:t>
            </w: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1）安全操作要领；</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2）操作动作规范；</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3）汽车仪表系统与报警系统的结构、原理、使用、检测和识读。</w:t>
            </w: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1）安全操作要领；</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2）操作动作规范；</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3）汽车仪表系统与报警系统的结构、原理、使用、检测和识读。</w:t>
            </w: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熟悉和掌握汽车仪表与报警系统的部件组成、使用识读、检测与检修。</w:t>
            </w: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会使用识读和检测与检修汽车仪表与报警装置</w:t>
            </w:r>
          </w:p>
        </w:tc>
        <w:tc>
          <w:tcPr>
            <w:tcW w:w="0" w:type="auto"/>
            <w:tcBorders>
              <w:right w:val="single" w:color="auto"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8</w:t>
            </w:r>
          </w:p>
        </w:tc>
        <w:tc>
          <w:tcPr>
            <w:tcW w:w="0" w:type="auto"/>
            <w:tcBorders>
              <w:left w:val="single" w:color="auto" w:sz="4" w:space="0"/>
              <w:right w:val="single" w:color="auto"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6</w:t>
            </w:r>
          </w:p>
        </w:tc>
        <w:tc>
          <w:tcPr>
            <w:tcW w:w="0" w:type="auto"/>
            <w:tcBorders>
              <w:left w:val="single" w:color="auto"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0" w:type="auto"/>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6</w:t>
            </w:r>
          </w:p>
        </w:tc>
        <w:tc>
          <w:tcPr>
            <w:tcW w:w="0" w:type="auto"/>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项目六汽车舒适与安全系统</w:t>
            </w: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1）安全操作要领；</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2）操作动作规范；</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3）汽车舒适与安全系统的组成、原理、故障诊断与排除。</w:t>
            </w: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1）安全操作要领；</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2）操作动作规范；</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3）汽车舒适与安全系统的组成、原理、故障诊断与排除。</w:t>
            </w: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熟悉和掌握汽车舒适与安全系统的组成、原理、故障诊断与排除。</w:t>
            </w: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会正确使用汽车舒适与安全各部件，能够诊断与排除故障。</w:t>
            </w:r>
          </w:p>
        </w:tc>
        <w:tc>
          <w:tcPr>
            <w:tcW w:w="0" w:type="auto"/>
            <w:tcBorders>
              <w:right w:val="single" w:color="auto"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22</w:t>
            </w:r>
          </w:p>
        </w:tc>
        <w:tc>
          <w:tcPr>
            <w:tcW w:w="0" w:type="auto"/>
            <w:tcBorders>
              <w:left w:val="single" w:color="auto" w:sz="4" w:space="0"/>
              <w:right w:val="single" w:color="auto"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16</w:t>
            </w:r>
          </w:p>
        </w:tc>
        <w:tc>
          <w:tcPr>
            <w:tcW w:w="0" w:type="auto"/>
            <w:tcBorders>
              <w:left w:val="single" w:color="auto"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0" w:type="auto"/>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7</w:t>
            </w:r>
          </w:p>
        </w:tc>
        <w:tc>
          <w:tcPr>
            <w:tcW w:w="0" w:type="auto"/>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项目七全车电气设备线路</w:t>
            </w: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1）安全操作要领；</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2）操作动作规范；</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3）汽车电气设备电路图的识读和设备线路故障的检修。</w:t>
            </w: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1）安全操作要领；</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2）操作动作规范；</w:t>
            </w:r>
          </w:p>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3）汽车电气设备电路图的识读和设备线路故障的检修。</w:t>
            </w: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熟悉和掌握汽车电气设备电路图的识读以及设备线路故障的检修。</w:t>
            </w:r>
          </w:p>
        </w:tc>
        <w:tc>
          <w:tcPr>
            <w:tcW w:w="0" w:type="auto"/>
            <w:noWrap w:val="0"/>
            <w:vAlign w:val="center"/>
          </w:tcPr>
          <w:p>
            <w:pPr>
              <w:jc w:val="both"/>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会识读汽车电气设备电路图，能够检修设备线路故障。</w:t>
            </w:r>
          </w:p>
        </w:tc>
        <w:tc>
          <w:tcPr>
            <w:tcW w:w="0" w:type="auto"/>
            <w:tcBorders>
              <w:right w:val="single" w:color="auto"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w:t>
            </w:r>
          </w:p>
        </w:tc>
        <w:tc>
          <w:tcPr>
            <w:tcW w:w="0" w:type="auto"/>
            <w:tcBorders>
              <w:left w:val="single" w:color="auto" w:sz="4" w:space="0"/>
              <w:right w:val="single" w:color="auto"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6</w:t>
            </w:r>
          </w:p>
        </w:tc>
        <w:tc>
          <w:tcPr>
            <w:tcW w:w="0" w:type="auto"/>
            <w:tcBorders>
              <w:left w:val="single" w:color="auto"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0" w:type="auto"/>
            <w:gridSpan w:val="6"/>
            <w:noWrap w:val="0"/>
            <w:vAlign w:val="center"/>
          </w:tcPr>
          <w:p>
            <w:pPr>
              <w:jc w:val="center"/>
              <w:rPr>
                <w:rFonts w:hint="eastAsia" w:ascii="宋体" w:hAnsi="宋体" w:eastAsia="宋体" w:cs="宋体"/>
                <w:b w:val="0"/>
                <w:bCs w:val="0"/>
                <w:sz w:val="21"/>
                <w:szCs w:val="21"/>
                <w:lang w:val="en-US" w:eastAsia="zh-CN"/>
              </w:rPr>
            </w:pPr>
            <w:bookmarkStart w:id="0" w:name="_GoBack" w:colFirst="0" w:colLast="5"/>
            <w:r>
              <w:rPr>
                <w:rFonts w:hint="eastAsia" w:ascii="宋体" w:hAnsi="宋体" w:eastAsia="宋体" w:cs="宋体"/>
                <w:b w:val="0"/>
                <w:bCs w:val="0"/>
                <w:sz w:val="21"/>
                <w:szCs w:val="21"/>
                <w:lang w:val="en-US" w:eastAsia="zh-CN"/>
              </w:rPr>
              <w:t>合计</w:t>
            </w:r>
          </w:p>
        </w:tc>
        <w:tc>
          <w:tcPr>
            <w:tcW w:w="0" w:type="auto"/>
            <w:tcBorders>
              <w:right w:val="single" w:color="auto"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72</w:t>
            </w:r>
          </w:p>
        </w:tc>
        <w:tc>
          <w:tcPr>
            <w:tcW w:w="0" w:type="auto"/>
            <w:tcBorders>
              <w:left w:val="single" w:color="auto" w:sz="4" w:space="0"/>
              <w:right w:val="single" w:color="auto"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44</w:t>
            </w:r>
          </w:p>
        </w:tc>
        <w:tc>
          <w:tcPr>
            <w:tcW w:w="0" w:type="auto"/>
            <w:tcBorders>
              <w:left w:val="single" w:color="auto"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28</w:t>
            </w:r>
          </w:p>
        </w:tc>
      </w:tr>
      <w:bookmarkEnd w:id="0"/>
    </w:tbl>
    <w:p>
      <w:pPr>
        <w:pStyle w:val="19"/>
        <w:keepNext w:val="0"/>
        <w:keepLines w:val="0"/>
        <w:pageBreakBefore w:val="0"/>
        <w:kinsoku/>
        <w:overflowPunct/>
        <w:topLinePunct w:val="0"/>
        <w:bidi w:val="0"/>
        <w:spacing w:after="0" w:line="240" w:lineRule="auto"/>
        <w:ind w:left="0" w:leftChars="0" w:right="0" w:rightChars="0" w:firstLine="422"/>
        <w:textAlignment w:val="auto"/>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六、考核标准与方式设计</w:t>
      </w:r>
    </w:p>
    <w:p>
      <w:pPr>
        <w:pStyle w:val="19"/>
        <w:keepNext w:val="0"/>
        <w:keepLines w:val="0"/>
        <w:pageBreakBefore w:val="0"/>
        <w:kinsoku/>
        <w:overflowPunct/>
        <w:topLinePunct w:val="0"/>
        <w:bidi w:val="0"/>
        <w:spacing w:after="0" w:line="240" w:lineRule="auto"/>
        <w:ind w:left="0" w:leftChars="0" w:right="0" w:rightChars="0" w:firstLine="422"/>
        <w:textAlignment w:val="auto"/>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（一）考核标准</w:t>
      </w:r>
    </w:p>
    <w:p>
      <w:pPr>
        <w:pStyle w:val="19"/>
        <w:keepNext w:val="0"/>
        <w:keepLines w:val="0"/>
        <w:pageBreakBefore w:val="0"/>
        <w:kinsoku/>
        <w:overflowPunct/>
        <w:topLinePunct w:val="0"/>
        <w:bidi w:val="0"/>
        <w:spacing w:after="0" w:line="240" w:lineRule="auto"/>
        <w:ind w:left="0" w:leftChars="0" w:right="0" w:rightChars="0" w:firstLine="422"/>
        <w:textAlignment w:val="auto"/>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本课程的考核标准依据课程目标确定，建立课程考核的“应知”“应会”体系（详见下表）。（注：“应知”侧重于知识考核，“应会”侧重能力考核，素质考核融入“应知”“应会”的内容中）</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outlineLvl w:val="1"/>
        <w:rPr>
          <w:rFonts w:hint="eastAsia" w:ascii="宋体" w:hAnsi="宋体" w:eastAsia="宋体" w:cs="宋体"/>
          <w:b w:val="0"/>
          <w:bCs w:val="0"/>
          <w:color w:val="000000" w:themeColor="text1"/>
          <w:sz w:val="24"/>
          <w:szCs w:val="24"/>
          <w:lang w:eastAsia="zh-CN"/>
          <w14:textFill>
            <w14:solidFill>
              <w14:schemeClr w14:val="tx1"/>
            </w14:solidFill>
          </w14:textFill>
        </w:rPr>
      </w:pPr>
      <w:r>
        <w:rPr>
          <w:rFonts w:hint="eastAsia" w:ascii="宋体" w:hAnsi="宋体" w:eastAsia="宋体" w:cs="宋体"/>
          <w:color w:val="000000"/>
          <w:kern w:val="0"/>
          <w:sz w:val="24"/>
          <w:szCs w:val="24"/>
          <w:lang w:val="en-US" w:eastAsia="zh-CN" w:bidi="ar"/>
        </w:rPr>
        <w:t>表</w:t>
      </w:r>
      <w:r>
        <w:rPr>
          <w:rFonts w:hint="eastAsia" w:cs="宋体"/>
          <w:color w:val="000000"/>
          <w:kern w:val="0"/>
          <w:sz w:val="24"/>
          <w:szCs w:val="24"/>
          <w:lang w:val="en-US" w:eastAsia="zh-CN" w:bidi="ar"/>
        </w:rPr>
        <w:t>2</w:t>
      </w:r>
      <w:r>
        <w:rPr>
          <w:rFonts w:hint="eastAsia" w:ascii="宋体" w:hAnsi="宋体" w:eastAsia="宋体" w:cs="宋体"/>
          <w:b w:val="0"/>
          <w:bCs w:val="0"/>
          <w:color w:val="000000" w:themeColor="text1"/>
          <w:sz w:val="24"/>
          <w:szCs w:val="24"/>
          <w:lang w:val="en-US" w:eastAsia="zh-CN"/>
          <w14:textFill>
            <w14:solidFill>
              <w14:schemeClr w14:val="tx1"/>
            </w14:solidFill>
          </w14:textFill>
        </w:rPr>
        <w:t>汽车电气设备检修</w:t>
      </w:r>
      <w:r>
        <w:rPr>
          <w:rFonts w:hint="eastAsia" w:ascii="宋体" w:hAnsi="宋体" w:eastAsia="宋体" w:cs="宋体"/>
          <w:b w:val="0"/>
          <w:bCs w:val="0"/>
          <w:color w:val="000000" w:themeColor="text1"/>
          <w:sz w:val="24"/>
          <w:szCs w:val="24"/>
          <w:lang w:eastAsia="zh-CN"/>
          <w14:textFill>
            <w14:solidFill>
              <w14:schemeClr w14:val="tx1"/>
            </w14:solidFill>
          </w14:textFill>
        </w:rPr>
        <w:t>课程考核标准</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8"/>
        <w:gridCol w:w="1489"/>
        <w:gridCol w:w="3553"/>
        <w:gridCol w:w="3150"/>
        <w:gridCol w:w="5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序号</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教学单元</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应知</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应会</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汽车电气系统认知</w:t>
            </w:r>
          </w:p>
        </w:tc>
        <w:tc>
          <w:tcPr>
            <w:tcW w:w="0" w:type="auto"/>
            <w:vAlign w:val="center"/>
          </w:tcPr>
          <w:p>
            <w:pPr>
              <w:pStyle w:val="7"/>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汽车常用工具</w:t>
            </w:r>
          </w:p>
          <w:p>
            <w:pPr>
              <w:pStyle w:val="7"/>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汽车电路图</w:t>
            </w:r>
          </w:p>
        </w:tc>
        <w:tc>
          <w:tcPr>
            <w:tcW w:w="0" w:type="auto"/>
            <w:vAlign w:val="center"/>
          </w:tcPr>
          <w:p>
            <w:pPr>
              <w:pStyle w:val="7"/>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汽车常用工具的使用方法</w:t>
            </w:r>
          </w:p>
          <w:p>
            <w:pPr>
              <w:pStyle w:val="7"/>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汽车电路图的识读原则和方法</w:t>
            </w:r>
          </w:p>
        </w:tc>
        <w:tc>
          <w:tcPr>
            <w:tcW w:w="0" w:type="auto"/>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2</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汽车电源系统</w:t>
            </w:r>
          </w:p>
        </w:tc>
        <w:tc>
          <w:tcPr>
            <w:tcW w:w="0" w:type="auto"/>
            <w:vAlign w:val="center"/>
          </w:tcPr>
          <w:p>
            <w:pPr>
              <w:pStyle w:val="7"/>
              <w:keepNext w:val="0"/>
              <w:keepLines w:val="0"/>
              <w:pageBreakBefore w:val="0"/>
              <w:widowControl w:val="0"/>
              <w:numPr>
                <w:ilvl w:val="0"/>
                <w:numId w:val="3"/>
              </w:numPr>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汽车电源系统各部件的结构、组成和原理</w:t>
            </w:r>
          </w:p>
          <w:p>
            <w:pPr>
              <w:pStyle w:val="7"/>
              <w:keepNext w:val="0"/>
              <w:keepLines w:val="0"/>
              <w:pageBreakBefore w:val="0"/>
              <w:widowControl w:val="0"/>
              <w:numPr>
                <w:ilvl w:val="0"/>
                <w:numId w:val="3"/>
              </w:numPr>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汽车电源系统的故障诊断和排除</w:t>
            </w:r>
          </w:p>
        </w:tc>
        <w:tc>
          <w:tcPr>
            <w:tcW w:w="0" w:type="auto"/>
            <w:vAlign w:val="center"/>
          </w:tcPr>
          <w:p>
            <w:pPr>
              <w:pStyle w:val="7"/>
              <w:keepNext w:val="0"/>
              <w:keepLines w:val="0"/>
              <w:pageBreakBefore w:val="0"/>
              <w:widowControl w:val="0"/>
              <w:numPr>
                <w:ilvl w:val="0"/>
                <w:numId w:val="4"/>
              </w:numPr>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汽车电源系统各部件的检测和维护方法</w:t>
            </w:r>
          </w:p>
          <w:p>
            <w:pPr>
              <w:pStyle w:val="7"/>
              <w:keepNext w:val="0"/>
              <w:keepLines w:val="0"/>
              <w:pageBreakBefore w:val="0"/>
              <w:widowControl w:val="0"/>
              <w:numPr>
                <w:ilvl w:val="0"/>
                <w:numId w:val="4"/>
              </w:numPr>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汽车电源系统故障诊断和排除方法</w:t>
            </w:r>
          </w:p>
        </w:tc>
        <w:tc>
          <w:tcPr>
            <w:tcW w:w="0" w:type="auto"/>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3</w:t>
            </w:r>
          </w:p>
        </w:tc>
        <w:tc>
          <w:tcPr>
            <w:tcW w:w="0" w:type="auto"/>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汽车启动系统</w:t>
            </w:r>
          </w:p>
        </w:tc>
        <w:tc>
          <w:tcPr>
            <w:tcW w:w="0" w:type="auto"/>
            <w:vAlign w:val="center"/>
          </w:tcPr>
          <w:p>
            <w:pPr>
              <w:pStyle w:val="7"/>
              <w:keepNext w:val="0"/>
              <w:keepLines w:val="0"/>
              <w:pageBreakBefore w:val="0"/>
              <w:widowControl w:val="0"/>
              <w:numPr>
                <w:ilvl w:val="0"/>
                <w:numId w:val="5"/>
              </w:numPr>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启动系统的结构、组成和原理</w:t>
            </w:r>
          </w:p>
          <w:p>
            <w:pPr>
              <w:pStyle w:val="7"/>
              <w:keepNext w:val="0"/>
              <w:keepLines w:val="0"/>
              <w:pageBreakBefore w:val="0"/>
              <w:widowControl w:val="0"/>
              <w:numPr>
                <w:ilvl w:val="0"/>
                <w:numId w:val="5"/>
              </w:numPr>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启动系统部件的检测、故障诊断排除</w:t>
            </w:r>
          </w:p>
        </w:tc>
        <w:tc>
          <w:tcPr>
            <w:tcW w:w="0" w:type="auto"/>
            <w:vAlign w:val="center"/>
          </w:tcPr>
          <w:p>
            <w:pPr>
              <w:pStyle w:val="7"/>
              <w:keepNext w:val="0"/>
              <w:keepLines w:val="0"/>
              <w:pageBreakBefore w:val="0"/>
              <w:widowControl w:val="0"/>
              <w:numPr>
                <w:ilvl w:val="0"/>
                <w:numId w:val="6"/>
              </w:numPr>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启动系统各部件的检测和维护方法</w:t>
            </w:r>
          </w:p>
          <w:p>
            <w:pPr>
              <w:pStyle w:val="7"/>
              <w:keepNext w:val="0"/>
              <w:keepLines w:val="0"/>
              <w:pageBreakBefore w:val="0"/>
              <w:widowControl w:val="0"/>
              <w:numPr>
                <w:ilvl w:val="0"/>
                <w:numId w:val="6"/>
              </w:numPr>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启动系统故障诊断与排除方法</w:t>
            </w:r>
          </w:p>
        </w:tc>
        <w:tc>
          <w:tcPr>
            <w:tcW w:w="0" w:type="auto"/>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4</w:t>
            </w:r>
          </w:p>
        </w:tc>
        <w:tc>
          <w:tcPr>
            <w:tcW w:w="0" w:type="auto"/>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 xml:space="preserve">汽车照明与信号系统  </w:t>
            </w:r>
          </w:p>
        </w:tc>
        <w:tc>
          <w:tcPr>
            <w:tcW w:w="0" w:type="auto"/>
            <w:vAlign w:val="center"/>
          </w:tcPr>
          <w:p>
            <w:pPr>
              <w:pStyle w:val="7"/>
              <w:keepNext w:val="0"/>
              <w:keepLines w:val="0"/>
              <w:pageBreakBefore w:val="0"/>
              <w:widowControl w:val="0"/>
              <w:numPr>
                <w:ilvl w:val="0"/>
                <w:numId w:val="7"/>
              </w:numPr>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汽车照明与信号系统组成、原理和电路</w:t>
            </w:r>
          </w:p>
          <w:p>
            <w:pPr>
              <w:pStyle w:val="7"/>
              <w:keepNext w:val="0"/>
              <w:keepLines w:val="0"/>
              <w:pageBreakBefore w:val="0"/>
              <w:widowControl w:val="0"/>
              <w:numPr>
                <w:ilvl w:val="0"/>
                <w:numId w:val="7"/>
              </w:numPr>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汽车照明与信号系统故障诊断与检修</w:t>
            </w:r>
          </w:p>
        </w:tc>
        <w:tc>
          <w:tcPr>
            <w:tcW w:w="0" w:type="auto"/>
            <w:vAlign w:val="center"/>
          </w:tcPr>
          <w:p>
            <w:pPr>
              <w:pStyle w:val="7"/>
              <w:keepNext w:val="0"/>
              <w:keepLines w:val="0"/>
              <w:pageBreakBefore w:val="0"/>
              <w:widowControl w:val="0"/>
              <w:numPr>
                <w:ilvl w:val="0"/>
                <w:numId w:val="8"/>
              </w:numPr>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照明与信号系统各部件的检测方法</w:t>
            </w:r>
          </w:p>
          <w:p>
            <w:pPr>
              <w:pStyle w:val="7"/>
              <w:keepNext w:val="0"/>
              <w:keepLines w:val="0"/>
              <w:pageBreakBefore w:val="0"/>
              <w:widowControl w:val="0"/>
              <w:numPr>
                <w:ilvl w:val="0"/>
                <w:numId w:val="8"/>
              </w:numPr>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照明与信号系统的故障诊断与排除方法</w:t>
            </w:r>
          </w:p>
        </w:tc>
        <w:tc>
          <w:tcPr>
            <w:tcW w:w="0" w:type="auto"/>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5</w:t>
            </w:r>
          </w:p>
        </w:tc>
        <w:tc>
          <w:tcPr>
            <w:tcW w:w="0" w:type="auto"/>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汽车仪表与报警系统</w:t>
            </w:r>
          </w:p>
        </w:tc>
        <w:tc>
          <w:tcPr>
            <w:tcW w:w="0" w:type="auto"/>
            <w:vAlign w:val="center"/>
          </w:tcPr>
          <w:p>
            <w:pPr>
              <w:pStyle w:val="7"/>
              <w:keepNext w:val="0"/>
              <w:keepLines w:val="0"/>
              <w:pageBreakBefore w:val="0"/>
              <w:widowControl w:val="0"/>
              <w:numPr>
                <w:ilvl w:val="0"/>
                <w:numId w:val="9"/>
              </w:numPr>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汽车仪表与报警系统的组成、部件和功能</w:t>
            </w:r>
          </w:p>
          <w:p>
            <w:pPr>
              <w:pStyle w:val="7"/>
              <w:keepNext w:val="0"/>
              <w:keepLines w:val="0"/>
              <w:pageBreakBefore w:val="0"/>
              <w:widowControl w:val="0"/>
              <w:numPr>
                <w:ilvl w:val="0"/>
                <w:numId w:val="9"/>
              </w:numPr>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汽车仪表与部件系统的故障诊断与排除</w:t>
            </w:r>
          </w:p>
        </w:tc>
        <w:tc>
          <w:tcPr>
            <w:tcW w:w="0" w:type="auto"/>
            <w:vAlign w:val="center"/>
          </w:tcPr>
          <w:p>
            <w:pPr>
              <w:pStyle w:val="7"/>
              <w:keepNext w:val="0"/>
              <w:keepLines w:val="0"/>
              <w:pageBreakBefore w:val="0"/>
              <w:widowControl w:val="0"/>
              <w:numPr>
                <w:ilvl w:val="0"/>
                <w:numId w:val="10"/>
              </w:numPr>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汽车仪表与报警系统部件的检测方法</w:t>
            </w:r>
          </w:p>
          <w:p>
            <w:pPr>
              <w:pStyle w:val="7"/>
              <w:keepNext w:val="0"/>
              <w:keepLines w:val="0"/>
              <w:pageBreakBefore w:val="0"/>
              <w:widowControl w:val="0"/>
              <w:numPr>
                <w:ilvl w:val="0"/>
                <w:numId w:val="10"/>
              </w:numPr>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汽车仪表与报警系统的故障诊断与排除方法</w:t>
            </w:r>
          </w:p>
        </w:tc>
        <w:tc>
          <w:tcPr>
            <w:tcW w:w="0" w:type="auto"/>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6</w:t>
            </w:r>
          </w:p>
        </w:tc>
        <w:tc>
          <w:tcPr>
            <w:tcW w:w="0" w:type="auto"/>
            <w:vAlign w:val="center"/>
          </w:tcPr>
          <w:p>
            <w:pPr>
              <w:keepNext w:val="0"/>
              <w:keepLines w:val="0"/>
              <w:pageBreakBefore w:val="0"/>
              <w:kinsoku/>
              <w:wordWrap/>
              <w:overflowPunct/>
              <w:topLinePunct w:val="0"/>
              <w:autoSpaceDE/>
              <w:autoSpaceDN/>
              <w:bidi w:val="0"/>
              <w:adjustRightInd/>
              <w:snapToGrid/>
              <w:spacing w:line="300" w:lineRule="exact"/>
              <w:jc w:val="both"/>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汽车舒适与安全系统</w:t>
            </w:r>
          </w:p>
        </w:tc>
        <w:tc>
          <w:tcPr>
            <w:tcW w:w="0" w:type="auto"/>
            <w:vAlign w:val="center"/>
          </w:tcPr>
          <w:p>
            <w:pPr>
              <w:pStyle w:val="7"/>
              <w:keepNext w:val="0"/>
              <w:keepLines w:val="0"/>
              <w:pageBreakBefore w:val="0"/>
              <w:widowControl w:val="0"/>
              <w:numPr>
                <w:ilvl w:val="0"/>
                <w:numId w:val="11"/>
              </w:numPr>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汽车舒适与安全系统的结构组成、部件和工作原理</w:t>
            </w:r>
          </w:p>
          <w:p>
            <w:pPr>
              <w:pStyle w:val="7"/>
              <w:keepNext w:val="0"/>
              <w:keepLines w:val="0"/>
              <w:pageBreakBefore w:val="0"/>
              <w:widowControl w:val="0"/>
              <w:numPr>
                <w:ilvl w:val="0"/>
                <w:numId w:val="11"/>
              </w:numPr>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汽车舒适与安全系统的故障诊断与排除</w:t>
            </w:r>
          </w:p>
        </w:tc>
        <w:tc>
          <w:tcPr>
            <w:tcW w:w="0" w:type="auto"/>
            <w:vAlign w:val="center"/>
          </w:tcPr>
          <w:p>
            <w:pPr>
              <w:pStyle w:val="7"/>
              <w:keepNext w:val="0"/>
              <w:keepLines w:val="0"/>
              <w:pageBreakBefore w:val="0"/>
              <w:widowControl w:val="0"/>
              <w:numPr>
                <w:ilvl w:val="0"/>
                <w:numId w:val="12"/>
              </w:numPr>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汽车舒适与安全系统各部件的检测方法</w:t>
            </w:r>
          </w:p>
          <w:p>
            <w:pPr>
              <w:pStyle w:val="7"/>
              <w:keepNext w:val="0"/>
              <w:keepLines w:val="0"/>
              <w:pageBreakBefore w:val="0"/>
              <w:widowControl w:val="0"/>
              <w:numPr>
                <w:ilvl w:val="0"/>
                <w:numId w:val="12"/>
              </w:numPr>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汽车舒适与安全系统的故障诊断与排除方法</w:t>
            </w:r>
          </w:p>
        </w:tc>
        <w:tc>
          <w:tcPr>
            <w:tcW w:w="0" w:type="auto"/>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 xml:space="preserve">  7</w:t>
            </w:r>
          </w:p>
        </w:tc>
        <w:tc>
          <w:tcPr>
            <w:tcW w:w="0" w:type="auto"/>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全车电气设备线路</w:t>
            </w:r>
          </w:p>
        </w:tc>
        <w:tc>
          <w:tcPr>
            <w:tcW w:w="0" w:type="auto"/>
            <w:vAlign w:val="center"/>
          </w:tcPr>
          <w:p>
            <w:pPr>
              <w:pStyle w:val="7"/>
              <w:keepNext w:val="0"/>
              <w:keepLines w:val="0"/>
              <w:pageBreakBefore w:val="0"/>
              <w:widowControl w:val="0"/>
              <w:numPr>
                <w:ilvl w:val="0"/>
                <w:numId w:val="13"/>
              </w:numPr>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汽车电路图的识读</w:t>
            </w:r>
          </w:p>
          <w:p>
            <w:pPr>
              <w:pStyle w:val="7"/>
              <w:keepNext w:val="0"/>
              <w:keepLines w:val="0"/>
              <w:pageBreakBefore w:val="0"/>
              <w:widowControl w:val="0"/>
              <w:numPr>
                <w:ilvl w:val="0"/>
                <w:numId w:val="13"/>
              </w:numPr>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汽车电气设备线路的故障诊断和检修</w:t>
            </w:r>
          </w:p>
        </w:tc>
        <w:tc>
          <w:tcPr>
            <w:tcW w:w="0" w:type="auto"/>
            <w:vAlign w:val="center"/>
          </w:tcPr>
          <w:p>
            <w:pPr>
              <w:pStyle w:val="7"/>
              <w:keepNext w:val="0"/>
              <w:keepLines w:val="0"/>
              <w:pageBreakBefore w:val="0"/>
              <w:widowControl w:val="0"/>
              <w:numPr>
                <w:ilvl w:val="0"/>
                <w:numId w:val="14"/>
              </w:numPr>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汽车电路图的识读方法</w:t>
            </w:r>
          </w:p>
          <w:p>
            <w:pPr>
              <w:pStyle w:val="7"/>
              <w:keepNext w:val="0"/>
              <w:keepLines w:val="0"/>
              <w:pageBreakBefore w:val="0"/>
              <w:widowControl w:val="0"/>
              <w:numPr>
                <w:ilvl w:val="0"/>
                <w:numId w:val="14"/>
              </w:numPr>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汽车电气设备线路的故障诊断和检修方法</w:t>
            </w:r>
          </w:p>
        </w:tc>
        <w:tc>
          <w:tcPr>
            <w:tcW w:w="0" w:type="auto"/>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both"/>
              <w:textAlignment w:val="auto"/>
              <w:outlineLvl w:val="1"/>
              <w:rPr>
                <w:rFonts w:hint="eastAsia" w:ascii="宋体" w:hAnsi="宋体" w:eastAsia="宋体" w:cs="宋体"/>
                <w:b w:val="0"/>
                <w:bCs w:val="0"/>
                <w:kern w:val="2"/>
                <w:sz w:val="21"/>
                <w:szCs w:val="21"/>
                <w:lang w:val="en-US" w:eastAsia="zh-CN" w:bidi="ar-SA"/>
              </w:rPr>
            </w:pPr>
          </w:p>
        </w:tc>
      </w:tr>
    </w:tbl>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（二）考核方式</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本课程采用过程考核、理论考核、技能考核方式进行。</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1.过程考核：占课程总评成绩的40%。包括学生到课、课堂交流、实训练习、平时作业、阶段测练、期中考试等环节，由任课教师在课程教学过程中实施与评定；</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2.理论考核：占课程总评成绩的20%。由教研室在课程结束时组织实施；</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3.技能考核：占课程总评成绩的40%。由教研室制定汽车电气设备检修技能考核方案，在课程结束或课程教学过程中分阶段，采用分组或个人抽签方式实施。</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七、实施建议</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（一）教材编写与使用选择</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《汽车电气设备构造与维修》崔晓琳主编，哈尔滨工业大学出版社出版，2022年2月第二版。国家人才培养”十三五“规划教材。</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（二）教学方法与手段</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1.教学模式：</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以课堂和实训基地为载体，创设教学情境，运用理论与实训一体化的教学模式。</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2.教学方法：</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采用理论与实践同步进行的方法，通过理论讲授、任务驱动、启发教学、重点讲评、实物讲述、实训操作等方式，学生可以更直观的学习和掌握理论知识和技能。</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3.教学手段：</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课程根据不同教学内容采用课堂多媒体教学、线上网络教学、实训室技能训练、汽车电气设备故障诊断处置场 景模拟训练等教学手段。</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（三）课程资源开发与利用</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1.利用网络资源，通过浏览《汽车电气设备检修》网络精品课程，有针对性地学习相关内容；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（1）超星智慧校园网络教学平台：http://cxzhxy.fanya.chaoxing.com/portal；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（2）学习通：</w:t>
      </w:r>
      <w:r>
        <w:rPr>
          <w:rFonts w:hint="eastAsia" w:ascii="宋体" w:hAnsi="宋体" w:eastAsia="宋体" w:cs="宋体"/>
          <w:b w:val="0"/>
          <w:bCs/>
          <w:color w:val="000000"/>
          <w:kern w:val="0"/>
          <w:sz w:val="24"/>
          <w:szCs w:val="24"/>
          <w:lang w:val="en-US" w:eastAsia="zh-CN" w:bidi="ar-SA"/>
        </w:rPr>
        <w:fldChar w:fldCharType="begin"/>
      </w:r>
      <w:r>
        <w:rPr>
          <w:rFonts w:hint="eastAsia" w:ascii="宋体" w:hAnsi="宋体" w:eastAsia="宋体" w:cs="宋体"/>
          <w:b w:val="0"/>
          <w:bCs/>
          <w:color w:val="000000"/>
          <w:kern w:val="0"/>
          <w:sz w:val="24"/>
          <w:szCs w:val="24"/>
          <w:lang w:val="en-US" w:eastAsia="zh-CN" w:bidi="ar-SA"/>
        </w:rPr>
        <w:instrText xml:space="preserve"> HYPERLINK "http://www.xuexi365.com/；" </w:instrText>
      </w:r>
      <w:r>
        <w:rPr>
          <w:rFonts w:hint="eastAsia" w:ascii="宋体" w:hAnsi="宋体" w:eastAsia="宋体" w:cs="宋体"/>
          <w:b w:val="0"/>
          <w:bCs/>
          <w:color w:val="000000"/>
          <w:kern w:val="0"/>
          <w:sz w:val="24"/>
          <w:szCs w:val="24"/>
          <w:lang w:val="en-US" w:eastAsia="zh-CN" w:bidi="ar-SA"/>
        </w:rPr>
        <w:fldChar w:fldCharType="separate"/>
      </w:r>
      <w:r>
        <w:rPr>
          <w:rFonts w:hint="eastAsia" w:ascii="宋体" w:hAnsi="宋体" w:eastAsia="宋体" w:cs="宋体"/>
          <w:b w:val="0"/>
          <w:bCs/>
          <w:color w:val="000000"/>
          <w:kern w:val="0"/>
          <w:sz w:val="24"/>
          <w:szCs w:val="24"/>
          <w:lang w:val="en-US" w:eastAsia="zh-CN" w:bidi="ar-SA"/>
        </w:rPr>
        <w:t>http://www.xuexi365.com/；</w:t>
      </w:r>
      <w:r>
        <w:rPr>
          <w:rFonts w:hint="eastAsia" w:ascii="宋体" w:hAnsi="宋体" w:eastAsia="宋体" w:cs="宋体"/>
          <w:b w:val="0"/>
          <w:bCs/>
          <w:color w:val="000000"/>
          <w:kern w:val="0"/>
          <w:sz w:val="24"/>
          <w:szCs w:val="24"/>
          <w:lang w:val="en-US" w:eastAsia="zh-CN" w:bidi="ar-SA"/>
        </w:rPr>
        <w:fldChar w:fldCharType="end"/>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（3）中国大学 MOOC：https://www.icourse163.org/。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2.系统地制作和完善有关电气设备故障诊断与排除技能操作的视频录像，用于实训教学的示教和指导，提高学生 动手能力。</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八、编制说明</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编写人：温桂林  教师               赣西科技职业学院材料与制造专业教研室</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审核人：廖凯    副教授/高级工程师  赣西科技职业学院智能制造学院</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执行日：本标准从2024年3月起执行。</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color w:val="000000"/>
          <w:kern w:val="0"/>
          <w:sz w:val="24"/>
          <w:szCs w:val="24"/>
          <w:lang w:val="en-US" w:eastAsia="zh-CN" w:bidi="ar-SA"/>
        </w:rPr>
      </w:pPr>
    </w:p>
    <w:p>
      <w:pPr>
        <w:pStyle w:val="19"/>
        <w:keepNext w:val="0"/>
        <w:keepLines w:val="0"/>
        <w:pageBreakBefore w:val="0"/>
        <w:kinsoku/>
        <w:overflowPunct/>
        <w:topLinePunct w:val="0"/>
        <w:bidi w:val="0"/>
        <w:spacing w:after="0" w:line="240" w:lineRule="auto"/>
        <w:ind w:left="0" w:leftChars="0" w:right="0" w:rightChars="0" w:firstLine="422"/>
        <w:textAlignment w:val="auto"/>
        <w:rPr>
          <w:rFonts w:hint="eastAsia" w:ascii="宋体" w:hAnsi="宋体" w:eastAsia="宋体" w:cs="宋体"/>
          <w:b w:val="0"/>
          <w:bCs/>
          <w:color w:val="auto"/>
          <w:sz w:val="24"/>
          <w:szCs w:val="24"/>
          <w:lang w:val="en-US" w:eastAsia="zh-CN"/>
        </w:rPr>
      </w:pPr>
    </w:p>
    <w:sectPr>
      <w:headerReference r:id="rId3" w:type="default"/>
      <w:footerReference r:id="rId4" w:type="default"/>
      <w:pgSz w:w="11906" w:h="16838"/>
      <w:pgMar w:top="1701" w:right="1417" w:bottom="1417" w:left="1417" w:header="851" w:footer="992" w:gutter="0"/>
      <w:pgNumType w:fmt="numberInDash"/>
      <w:cols w:space="0" w:num="1"/>
      <w:rtlGutter w:val="0"/>
      <w:docGrid w:type="linesAndChars" w:linePitch="394" w:charSpace="-26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center" w:pos="4536"/>
        <w:tab w:val="clear" w:pos="4153"/>
      </w:tabs>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8"/>
                            <w:rPr>
                              <w:rStyle w:val="15"/>
                            </w:rPr>
                          </w:pPr>
                          <w:r>
                            <w:fldChar w:fldCharType="begin"/>
                          </w:r>
                          <w:r>
                            <w:rPr>
                              <w:rStyle w:val="15"/>
                            </w:rPr>
                            <w:instrText xml:space="preserve">PAGE  </w:instrText>
                          </w:r>
                          <w:r>
                            <w:fldChar w:fldCharType="separate"/>
                          </w:r>
                          <w:r>
                            <w:rPr>
                              <w:rStyle w:val="15"/>
                            </w:rPr>
                            <w:t>- 2 -</w:t>
                          </w:r>
                          <w: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Dy0HMP5gEA&#10;AMgDAAAOAAAAAAAAAAEAIAAAACIBAABkcnMvZTJvRG9jLnhtbFBLBQYAAAAABgAGAFkBAAB6BQAA&#10;AAA=&#10;">
              <v:fill on="f" focussize="0,0"/>
              <v:stroke on="f" weight="1.25pt"/>
              <v:imagedata o:title=""/>
              <o:lock v:ext="edit" aspectratio="f"/>
              <v:textbox inset="0mm,0mm,0mm,0mm" style="mso-fit-shape-to-text:t;">
                <w:txbxContent>
                  <w:p>
                    <w:pPr>
                      <w:pStyle w:val="8"/>
                      <w:rPr>
                        <w:rStyle w:val="15"/>
                      </w:rPr>
                    </w:pPr>
                    <w:r>
                      <w:fldChar w:fldCharType="begin"/>
                    </w:r>
                    <w:r>
                      <w:rPr>
                        <w:rStyle w:val="15"/>
                      </w:rPr>
                      <w:instrText xml:space="preserve">PAGE  </w:instrText>
                    </w:r>
                    <w:r>
                      <w:fldChar w:fldCharType="separate"/>
                    </w:r>
                    <w:r>
                      <w:rPr>
                        <w:rStyle w:val="15"/>
                      </w:rPr>
                      <w:t>- 2 -</w:t>
                    </w:r>
                    <w:r>
                      <w:fldChar w:fldCharType="end"/>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D4429A"/>
    <w:multiLevelType w:val="singleLevel"/>
    <w:tmpl w:val="8BD4429A"/>
    <w:lvl w:ilvl="0" w:tentative="0">
      <w:start w:val="1"/>
      <w:numFmt w:val="decimal"/>
      <w:suff w:val="nothing"/>
      <w:lvlText w:val="%1）"/>
      <w:lvlJc w:val="left"/>
    </w:lvl>
  </w:abstractNum>
  <w:abstractNum w:abstractNumId="1">
    <w:nsid w:val="96180EFC"/>
    <w:multiLevelType w:val="singleLevel"/>
    <w:tmpl w:val="96180EFC"/>
    <w:lvl w:ilvl="0" w:tentative="0">
      <w:start w:val="1"/>
      <w:numFmt w:val="decimal"/>
      <w:suff w:val="nothing"/>
      <w:lvlText w:val="%1）"/>
      <w:lvlJc w:val="left"/>
    </w:lvl>
  </w:abstractNum>
  <w:abstractNum w:abstractNumId="2">
    <w:nsid w:val="96BB4CE9"/>
    <w:multiLevelType w:val="singleLevel"/>
    <w:tmpl w:val="96BB4CE9"/>
    <w:lvl w:ilvl="0" w:tentative="0">
      <w:start w:val="1"/>
      <w:numFmt w:val="decimal"/>
      <w:suff w:val="nothing"/>
      <w:lvlText w:val="%1）"/>
      <w:lvlJc w:val="left"/>
    </w:lvl>
  </w:abstractNum>
  <w:abstractNum w:abstractNumId="3">
    <w:nsid w:val="CC96FE14"/>
    <w:multiLevelType w:val="singleLevel"/>
    <w:tmpl w:val="CC96FE14"/>
    <w:lvl w:ilvl="0" w:tentative="0">
      <w:start w:val="1"/>
      <w:numFmt w:val="decimal"/>
      <w:suff w:val="nothing"/>
      <w:lvlText w:val="%1）"/>
      <w:lvlJc w:val="left"/>
    </w:lvl>
  </w:abstractNum>
  <w:abstractNum w:abstractNumId="4">
    <w:nsid w:val="CE363908"/>
    <w:multiLevelType w:val="singleLevel"/>
    <w:tmpl w:val="CE363908"/>
    <w:lvl w:ilvl="0" w:tentative="0">
      <w:start w:val="1"/>
      <w:numFmt w:val="decimal"/>
      <w:suff w:val="nothing"/>
      <w:lvlText w:val="%1）"/>
      <w:lvlJc w:val="left"/>
    </w:lvl>
  </w:abstractNum>
  <w:abstractNum w:abstractNumId="5">
    <w:nsid w:val="DBF7205D"/>
    <w:multiLevelType w:val="singleLevel"/>
    <w:tmpl w:val="DBF7205D"/>
    <w:lvl w:ilvl="0" w:tentative="0">
      <w:start w:val="1"/>
      <w:numFmt w:val="decimal"/>
      <w:suff w:val="nothing"/>
      <w:lvlText w:val="%1）"/>
      <w:lvlJc w:val="left"/>
    </w:lvl>
  </w:abstractNum>
  <w:abstractNum w:abstractNumId="6">
    <w:nsid w:val="E0F81F58"/>
    <w:multiLevelType w:val="singleLevel"/>
    <w:tmpl w:val="E0F81F58"/>
    <w:lvl w:ilvl="0" w:tentative="0">
      <w:start w:val="1"/>
      <w:numFmt w:val="decimal"/>
      <w:suff w:val="nothing"/>
      <w:lvlText w:val="%1）"/>
      <w:lvlJc w:val="left"/>
    </w:lvl>
  </w:abstractNum>
  <w:abstractNum w:abstractNumId="7">
    <w:nsid w:val="FFC10AB7"/>
    <w:multiLevelType w:val="singleLevel"/>
    <w:tmpl w:val="FFC10AB7"/>
    <w:lvl w:ilvl="0" w:tentative="0">
      <w:start w:val="1"/>
      <w:numFmt w:val="decimal"/>
      <w:lvlText w:val="%1)"/>
      <w:lvlJc w:val="left"/>
      <w:pPr>
        <w:tabs>
          <w:tab w:val="left" w:pos="312"/>
        </w:tabs>
      </w:pPr>
    </w:lvl>
  </w:abstractNum>
  <w:abstractNum w:abstractNumId="8">
    <w:nsid w:val="10205B65"/>
    <w:multiLevelType w:val="singleLevel"/>
    <w:tmpl w:val="10205B65"/>
    <w:lvl w:ilvl="0" w:tentative="0">
      <w:start w:val="1"/>
      <w:numFmt w:val="decimal"/>
      <w:suff w:val="nothing"/>
      <w:lvlText w:val="%1）"/>
      <w:lvlJc w:val="left"/>
    </w:lvl>
  </w:abstractNum>
  <w:abstractNum w:abstractNumId="9">
    <w:nsid w:val="26C1D39D"/>
    <w:multiLevelType w:val="singleLevel"/>
    <w:tmpl w:val="26C1D39D"/>
    <w:lvl w:ilvl="0" w:tentative="0">
      <w:start w:val="1"/>
      <w:numFmt w:val="decimal"/>
      <w:suff w:val="nothing"/>
      <w:lvlText w:val="%1）"/>
      <w:lvlJc w:val="left"/>
    </w:lvl>
  </w:abstractNum>
  <w:abstractNum w:abstractNumId="10">
    <w:nsid w:val="2D4D26B5"/>
    <w:multiLevelType w:val="singleLevel"/>
    <w:tmpl w:val="2D4D26B5"/>
    <w:lvl w:ilvl="0" w:tentative="0">
      <w:start w:val="1"/>
      <w:numFmt w:val="decimal"/>
      <w:suff w:val="nothing"/>
      <w:lvlText w:val="%1）"/>
      <w:lvlJc w:val="left"/>
    </w:lvl>
  </w:abstractNum>
  <w:abstractNum w:abstractNumId="11">
    <w:nsid w:val="2F611747"/>
    <w:multiLevelType w:val="singleLevel"/>
    <w:tmpl w:val="2F611747"/>
    <w:lvl w:ilvl="0" w:tentative="0">
      <w:start w:val="1"/>
      <w:numFmt w:val="decimal"/>
      <w:suff w:val="nothing"/>
      <w:lvlText w:val="%1）"/>
      <w:lvlJc w:val="left"/>
    </w:lvl>
  </w:abstractNum>
  <w:abstractNum w:abstractNumId="12">
    <w:nsid w:val="4FFC5786"/>
    <w:multiLevelType w:val="singleLevel"/>
    <w:tmpl w:val="4FFC5786"/>
    <w:lvl w:ilvl="0" w:tentative="0">
      <w:start w:val="1"/>
      <w:numFmt w:val="decimal"/>
      <w:suff w:val="nothing"/>
      <w:lvlText w:val="%1）"/>
      <w:lvlJc w:val="left"/>
    </w:lvl>
  </w:abstractNum>
  <w:abstractNum w:abstractNumId="13">
    <w:nsid w:val="76E1A6FF"/>
    <w:multiLevelType w:val="singleLevel"/>
    <w:tmpl w:val="76E1A6FF"/>
    <w:lvl w:ilvl="0" w:tentative="0">
      <w:start w:val="1"/>
      <w:numFmt w:val="decimal"/>
      <w:suff w:val="nothing"/>
      <w:lvlText w:val="%1）"/>
      <w:lvlJc w:val="left"/>
    </w:lvl>
  </w:abstractNum>
  <w:num w:numId="1">
    <w:abstractNumId w:val="8"/>
  </w:num>
  <w:num w:numId="2">
    <w:abstractNumId w:val="11"/>
  </w:num>
  <w:num w:numId="3">
    <w:abstractNumId w:val="1"/>
  </w:num>
  <w:num w:numId="4">
    <w:abstractNumId w:val="2"/>
  </w:num>
  <w:num w:numId="5">
    <w:abstractNumId w:val="4"/>
  </w:num>
  <w:num w:numId="6">
    <w:abstractNumId w:val="0"/>
  </w:num>
  <w:num w:numId="7">
    <w:abstractNumId w:val="5"/>
  </w:num>
  <w:num w:numId="8">
    <w:abstractNumId w:val="3"/>
  </w:num>
  <w:num w:numId="9">
    <w:abstractNumId w:val="6"/>
  </w:num>
  <w:num w:numId="10">
    <w:abstractNumId w:val="13"/>
  </w:num>
  <w:num w:numId="11">
    <w:abstractNumId w:val="12"/>
  </w:num>
  <w:num w:numId="12">
    <w:abstractNumId w:val="10"/>
  </w:num>
  <w:num w:numId="13">
    <w:abstractNumId w:val="7"/>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95"/>
  <w:drawingGridVerticalSpacing w:val="17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ZhODgwMDE5MDA4NmE0ZTZiMjk5NDc5ZTMyOGEzMGUifQ=="/>
  </w:docVars>
  <w:rsids>
    <w:rsidRoot w:val="00437DC1"/>
    <w:rsid w:val="00002FA5"/>
    <w:rsid w:val="000213D4"/>
    <w:rsid w:val="0002203E"/>
    <w:rsid w:val="0003203F"/>
    <w:rsid w:val="0006761E"/>
    <w:rsid w:val="00076329"/>
    <w:rsid w:val="000C59C8"/>
    <w:rsid w:val="000F68D6"/>
    <w:rsid w:val="00112D50"/>
    <w:rsid w:val="00140607"/>
    <w:rsid w:val="00154577"/>
    <w:rsid w:val="0016213B"/>
    <w:rsid w:val="001A0165"/>
    <w:rsid w:val="001B2607"/>
    <w:rsid w:val="001D0C30"/>
    <w:rsid w:val="0024382E"/>
    <w:rsid w:val="002762C4"/>
    <w:rsid w:val="00280CD0"/>
    <w:rsid w:val="0030335B"/>
    <w:rsid w:val="00305FC3"/>
    <w:rsid w:val="003661E4"/>
    <w:rsid w:val="00377C52"/>
    <w:rsid w:val="00386BCA"/>
    <w:rsid w:val="003E4465"/>
    <w:rsid w:val="00424A97"/>
    <w:rsid w:val="00437DC1"/>
    <w:rsid w:val="004401CF"/>
    <w:rsid w:val="00450A96"/>
    <w:rsid w:val="004620B2"/>
    <w:rsid w:val="00484FC9"/>
    <w:rsid w:val="004A0808"/>
    <w:rsid w:val="004C21BE"/>
    <w:rsid w:val="00516EE0"/>
    <w:rsid w:val="005278A0"/>
    <w:rsid w:val="00527FF0"/>
    <w:rsid w:val="005445A8"/>
    <w:rsid w:val="005515E3"/>
    <w:rsid w:val="00593F9E"/>
    <w:rsid w:val="005C11A9"/>
    <w:rsid w:val="00640410"/>
    <w:rsid w:val="00642EA4"/>
    <w:rsid w:val="00666F7E"/>
    <w:rsid w:val="00667C77"/>
    <w:rsid w:val="006A4417"/>
    <w:rsid w:val="006E577D"/>
    <w:rsid w:val="006F7C3B"/>
    <w:rsid w:val="007013D1"/>
    <w:rsid w:val="0070764A"/>
    <w:rsid w:val="00730939"/>
    <w:rsid w:val="00744604"/>
    <w:rsid w:val="007740DF"/>
    <w:rsid w:val="00783230"/>
    <w:rsid w:val="00787FF9"/>
    <w:rsid w:val="00794356"/>
    <w:rsid w:val="007E76E2"/>
    <w:rsid w:val="00803FAC"/>
    <w:rsid w:val="008A05DD"/>
    <w:rsid w:val="008D3526"/>
    <w:rsid w:val="008E3735"/>
    <w:rsid w:val="009056EE"/>
    <w:rsid w:val="00910723"/>
    <w:rsid w:val="0094579E"/>
    <w:rsid w:val="00953D06"/>
    <w:rsid w:val="00A5511C"/>
    <w:rsid w:val="00A72B2D"/>
    <w:rsid w:val="00A72F24"/>
    <w:rsid w:val="00A87CF2"/>
    <w:rsid w:val="00AA52B3"/>
    <w:rsid w:val="00AC4188"/>
    <w:rsid w:val="00AD54F2"/>
    <w:rsid w:val="00B05296"/>
    <w:rsid w:val="00B06132"/>
    <w:rsid w:val="00B375E3"/>
    <w:rsid w:val="00B553DC"/>
    <w:rsid w:val="00B6377E"/>
    <w:rsid w:val="00B678D7"/>
    <w:rsid w:val="00BA5AF6"/>
    <w:rsid w:val="00BF4DCF"/>
    <w:rsid w:val="00C16C06"/>
    <w:rsid w:val="00C343A1"/>
    <w:rsid w:val="00C464B5"/>
    <w:rsid w:val="00C47CBA"/>
    <w:rsid w:val="00C81C77"/>
    <w:rsid w:val="00C96182"/>
    <w:rsid w:val="00CB7BAF"/>
    <w:rsid w:val="00CD38A8"/>
    <w:rsid w:val="00D36D6F"/>
    <w:rsid w:val="00D47FB9"/>
    <w:rsid w:val="00D85D26"/>
    <w:rsid w:val="00D865F7"/>
    <w:rsid w:val="00D979C4"/>
    <w:rsid w:val="00DF0286"/>
    <w:rsid w:val="00DF4B58"/>
    <w:rsid w:val="00E06831"/>
    <w:rsid w:val="00E543C6"/>
    <w:rsid w:val="00E73ECA"/>
    <w:rsid w:val="00E745E7"/>
    <w:rsid w:val="00E967F2"/>
    <w:rsid w:val="00EC269F"/>
    <w:rsid w:val="00EC3142"/>
    <w:rsid w:val="00EC787E"/>
    <w:rsid w:val="00EF7E32"/>
    <w:rsid w:val="00F41D59"/>
    <w:rsid w:val="00F76EB2"/>
    <w:rsid w:val="00F921FC"/>
    <w:rsid w:val="00FA381E"/>
    <w:rsid w:val="00FA63B8"/>
    <w:rsid w:val="00FB550C"/>
    <w:rsid w:val="00FD4F8E"/>
    <w:rsid w:val="00FD6F47"/>
    <w:rsid w:val="01FE5297"/>
    <w:rsid w:val="0237243D"/>
    <w:rsid w:val="039F0AA2"/>
    <w:rsid w:val="041B2614"/>
    <w:rsid w:val="0ACB4F8A"/>
    <w:rsid w:val="0CD034E7"/>
    <w:rsid w:val="120D3F49"/>
    <w:rsid w:val="132A433D"/>
    <w:rsid w:val="13F27A1A"/>
    <w:rsid w:val="14B1436D"/>
    <w:rsid w:val="1542413B"/>
    <w:rsid w:val="185D276D"/>
    <w:rsid w:val="18A57277"/>
    <w:rsid w:val="198A654E"/>
    <w:rsid w:val="1CA92DC2"/>
    <w:rsid w:val="1CD35834"/>
    <w:rsid w:val="26374C8F"/>
    <w:rsid w:val="26C172DF"/>
    <w:rsid w:val="2CAF5AB7"/>
    <w:rsid w:val="335715E3"/>
    <w:rsid w:val="33B23743"/>
    <w:rsid w:val="3801634D"/>
    <w:rsid w:val="3A0F57EA"/>
    <w:rsid w:val="3A7E1675"/>
    <w:rsid w:val="3B361965"/>
    <w:rsid w:val="43686EF2"/>
    <w:rsid w:val="464A7EF2"/>
    <w:rsid w:val="51AE7DE7"/>
    <w:rsid w:val="569F04A6"/>
    <w:rsid w:val="586F2306"/>
    <w:rsid w:val="5C860D62"/>
    <w:rsid w:val="5DF01A06"/>
    <w:rsid w:val="5E15111B"/>
    <w:rsid w:val="66986E42"/>
    <w:rsid w:val="71AC72D9"/>
    <w:rsid w:val="768C66B5"/>
    <w:rsid w:val="77470352"/>
    <w:rsid w:val="77DA5820"/>
    <w:rsid w:val="780040FD"/>
    <w:rsid w:val="7B917CAE"/>
    <w:rsid w:val="7CF404F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widowControl/>
      <w:spacing w:before="100" w:beforeAutospacing="1" w:after="100" w:afterAutospacing="1"/>
      <w:jc w:val="left"/>
    </w:pPr>
    <w:rPr>
      <w:rFonts w:ascii="宋体" w:hAnsi="宋体" w:cs="宋体"/>
      <w:kern w:val="0"/>
      <w:sz w:val="24"/>
    </w:rPr>
  </w:style>
  <w:style w:type="paragraph" w:styleId="6">
    <w:name w:val="Body Text Indent"/>
    <w:basedOn w:val="1"/>
    <w:qFormat/>
    <w:uiPriority w:val="0"/>
    <w:pPr>
      <w:spacing w:line="400" w:lineRule="exact"/>
      <w:ind w:firstLine="420"/>
    </w:pPr>
    <w:rPr>
      <w:rFonts w:ascii="宋体" w:hAnsi="宋体"/>
      <w:szCs w:val="21"/>
    </w:rPr>
  </w:style>
  <w:style w:type="paragraph" w:styleId="7">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qFormat/>
    <w:uiPriority w:val="22"/>
    <w:rPr>
      <w:b/>
      <w:bCs/>
    </w:rPr>
  </w:style>
  <w:style w:type="character" w:styleId="15">
    <w:name w:val="page number"/>
    <w:basedOn w:val="13"/>
    <w:qFormat/>
    <w:uiPriority w:val="0"/>
  </w:style>
  <w:style w:type="character" w:styleId="16">
    <w:name w:val="Hyperlink"/>
    <w:basedOn w:val="13"/>
    <w:qFormat/>
    <w:uiPriority w:val="0"/>
    <w:rPr>
      <w:color w:val="0000FF"/>
      <w:u w:val="single"/>
    </w:rPr>
  </w:style>
  <w:style w:type="paragraph" w:customStyle="1" w:styleId="17">
    <w:name w:val="表格文字"/>
    <w:basedOn w:val="1"/>
    <w:qFormat/>
    <w:uiPriority w:val="0"/>
    <w:pPr>
      <w:spacing w:before="25" w:after="25"/>
      <w:jc w:val="left"/>
    </w:pPr>
    <w:rPr>
      <w:spacing w:val="10"/>
      <w:kern w:val="0"/>
    </w:rPr>
  </w:style>
  <w:style w:type="paragraph" w:customStyle="1" w:styleId="18">
    <w:name w:val="标题三"/>
    <w:basedOn w:val="4"/>
    <w:qFormat/>
    <w:uiPriority w:val="0"/>
    <w:pPr>
      <w:spacing w:before="0" w:after="0" w:line="360" w:lineRule="auto"/>
      <w:ind w:firstLine="200" w:firstLineChars="200"/>
    </w:pPr>
    <w:rPr>
      <w:rFonts w:ascii="宋体" w:hAnsi="宋体"/>
      <w:sz w:val="28"/>
      <w:szCs w:val="24"/>
    </w:rPr>
  </w:style>
  <w:style w:type="paragraph" w:styleId="19">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0"/>
    </w:rPr>
  </w:style>
  <w:style w:type="paragraph" w:customStyle="1" w:styleId="20">
    <w:name w:val="样式 宋体 行距: 固定值 20 磅"/>
    <w:basedOn w:val="1"/>
    <w:qFormat/>
    <w:uiPriority w:val="0"/>
    <w:pPr>
      <w:spacing w:line="360" w:lineRule="auto"/>
      <w:ind w:firstLine="200" w:firstLineChars="200"/>
      <w:jc w:val="left"/>
    </w:pPr>
    <w:rPr>
      <w:rFonts w:ascii="宋体" w:hAnsi="宋体" w:cs="宋体"/>
      <w:szCs w:val="20"/>
    </w:rPr>
  </w:style>
  <w:style w:type="paragraph" w:customStyle="1" w:styleId="21">
    <w:name w:val=" Char Char Char Char"/>
    <w:basedOn w:val="1"/>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Pages>
  <Words>3828</Words>
  <Characters>3862</Characters>
  <Lines>3</Lines>
  <Paragraphs>1</Paragraphs>
  <TotalTime>1</TotalTime>
  <ScaleCrop>false</ScaleCrop>
  <LinksUpToDate>false</LinksUpToDate>
  <CharactersWithSpaces>3884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2017-12-22T08:08:00Z</dcterms:created>
  <dc:creator>lcj</dc:creator>
  <cp:lastModifiedBy>机电工程学院</cp:lastModifiedBy>
  <dcterms:modified xsi:type="dcterms:W3CDTF">2023-11-29T03:18:44Z</dcterms:modified>
  <dc:title>dh</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C5B0DB8E2A434E238C5A20513941FBC9</vt:lpwstr>
  </property>
</Properties>
</file>